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3A" w:rsidRDefault="00907F51"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5A4BE8" w:rsidP="00DB6BE5">
      <w:pPr>
        <w:jc w:val="center"/>
        <w:rPr>
          <w:rFonts w:ascii="Arial" w:hAnsi="Arial" w:cs="Arial"/>
          <w:b/>
          <w:sz w:val="24"/>
          <w:szCs w:val="24"/>
        </w:rPr>
      </w:pPr>
      <w:r>
        <w:rPr>
          <w:rFonts w:ascii="Arial" w:hAnsi="Arial" w:cs="Arial"/>
          <w:b/>
          <w:sz w:val="32"/>
          <w:szCs w:val="32"/>
        </w:rPr>
        <w:t>March 2012</w:t>
      </w:r>
      <w:r w:rsidR="00101A3A">
        <w:rPr>
          <w:rFonts w:ascii="Arial" w:hAnsi="Arial" w:cs="Arial"/>
          <w:b/>
          <w:sz w:val="32"/>
          <w:szCs w:val="32"/>
        </w:rPr>
        <w:br/>
      </w:r>
      <w:r w:rsidR="00101A3A">
        <w:rPr>
          <w:rFonts w:ascii="Arial" w:hAnsi="Arial" w:cs="Arial"/>
          <w:b/>
          <w:sz w:val="24"/>
          <w:szCs w:val="24"/>
        </w:rPr>
        <w:t xml:space="preserve">Volume </w:t>
      </w:r>
      <w:r>
        <w:rPr>
          <w:rFonts w:ascii="Arial" w:hAnsi="Arial" w:cs="Arial"/>
          <w:b/>
          <w:sz w:val="24"/>
          <w:szCs w:val="24"/>
        </w:rPr>
        <w:t>9</w:t>
      </w:r>
      <w:r w:rsidR="00101A3A">
        <w:rPr>
          <w:rFonts w:ascii="Arial" w:hAnsi="Arial" w:cs="Arial"/>
          <w:b/>
          <w:sz w:val="24"/>
          <w:szCs w:val="24"/>
        </w:rPr>
        <w:t xml:space="preserve"> Number </w:t>
      </w:r>
      <w:r>
        <w:rPr>
          <w:rFonts w:ascii="Arial" w:hAnsi="Arial" w:cs="Arial"/>
          <w:b/>
          <w:sz w:val="24"/>
          <w:szCs w:val="24"/>
        </w:rPr>
        <w:t>3</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proofErr w:type="gramStart"/>
      <w:r>
        <w:rPr>
          <w:rFonts w:ascii="Arial" w:hAnsi="Arial" w:cs="Arial"/>
          <w:sz w:val="24"/>
          <w:szCs w:val="24"/>
        </w:rPr>
        <w:t>.</w:t>
      </w:r>
      <w:proofErr w:type="gramEnd"/>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 xml:space="preserve">Brent </w:t>
      </w:r>
      <w:proofErr w:type="spellStart"/>
      <w:r>
        <w:rPr>
          <w:rFonts w:ascii="Arial" w:hAnsi="Arial" w:cs="Arial"/>
          <w:b/>
          <w:sz w:val="24"/>
          <w:szCs w:val="24"/>
        </w:rPr>
        <w:t>Muirhead</w:t>
      </w:r>
      <w:proofErr w:type="spellEnd"/>
      <w:r>
        <w:rPr>
          <w:rFonts w:ascii="Arial" w:hAnsi="Arial" w:cs="Arial"/>
          <w:b/>
          <w:sz w:val="24"/>
          <w:szCs w:val="24"/>
        </w:rPr>
        <w:t xml:space="preserve">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proofErr w:type="gramStart"/>
      <w:r w:rsidRPr="000253F7">
        <w:rPr>
          <w:rFonts w:ascii="Arial" w:hAnsi="Arial" w:cs="Arial"/>
          <w:b/>
          <w:sz w:val="24"/>
          <w:szCs w:val="24"/>
        </w:rPr>
        <w:t>.</w:t>
      </w:r>
      <w:proofErr w:type="gramEnd"/>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Ind w:w="847"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9"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w:t>
            </w:r>
            <w:proofErr w:type="spellStart"/>
            <w:r>
              <w:rPr>
                <w:rFonts w:ascii="Verdana" w:hAnsi="Verdana"/>
                <w:color w:val="000000"/>
                <w:sz w:val="20"/>
              </w:rPr>
              <w:t>DonEl</w:t>
            </w:r>
            <w:proofErr w:type="spellEnd"/>
            <w:r>
              <w:rPr>
                <w:rFonts w:ascii="Verdana" w:hAnsi="Verdana"/>
                <w:color w:val="000000"/>
                <w:sz w:val="20"/>
              </w:rPr>
              <w:t xml:space="preserve">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821D5A">
              <w:rPr>
                <w:rFonts w:ascii="Verdana" w:hAnsi="Verdana"/>
                <w:color w:val="000000"/>
                <w:sz w:val="20"/>
              </w:rPr>
              <w:t>six</w:t>
            </w:r>
            <w:r>
              <w:rPr>
                <w:rFonts w:ascii="Verdana" w:hAnsi="Verdana"/>
                <w:color w:val="000000"/>
                <w:sz w:val="20"/>
              </w:rPr>
              <w:t xml:space="preserve"> years, the Journal logged over </w:t>
            </w:r>
            <w:r w:rsidR="00821D5A">
              <w:rPr>
                <w:rFonts w:ascii="Verdana" w:hAnsi="Verdana"/>
                <w:color w:val="000000"/>
                <w:sz w:val="20"/>
              </w:rPr>
              <w:t>six</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one 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Brent </w:t>
            </w:r>
            <w:proofErr w:type="spellStart"/>
            <w:r>
              <w:rPr>
                <w:rFonts w:ascii="Arial" w:hAnsi="Arial" w:cs="Arial"/>
                <w:color w:val="000000"/>
                <w:sz w:val="20"/>
              </w:rPr>
              <w:t>Muirhead</w:t>
            </w:r>
            <w:proofErr w:type="spellEnd"/>
            <w:r>
              <w:rPr>
                <w:rFonts w:ascii="Arial" w:hAnsi="Arial" w:cs="Arial"/>
                <w:color w:val="000000"/>
                <w:sz w:val="20"/>
              </w:rPr>
              <w:t>,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drawing>
          <wp:inline distT="0" distB="0" distL="0" distR="0" wp14:anchorId="614BF928" wp14:editId="3AA24F3E">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10"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proofErr w:type="gramStart"/>
      <w:r>
        <w:rPr>
          <w:rFonts w:ascii="Arial" w:hAnsi="Arial" w:cs="Arial"/>
          <w:b/>
          <w:sz w:val="24"/>
          <w:szCs w:val="24"/>
        </w:rPr>
        <w:t xml:space="preserve">Vol. </w:t>
      </w:r>
      <w:r w:rsidR="008F6FB1">
        <w:rPr>
          <w:rFonts w:ascii="Arial" w:hAnsi="Arial" w:cs="Arial"/>
          <w:b/>
          <w:sz w:val="24"/>
          <w:szCs w:val="24"/>
        </w:rPr>
        <w:t>9</w:t>
      </w:r>
      <w:r>
        <w:rPr>
          <w:rFonts w:ascii="Arial" w:hAnsi="Arial" w:cs="Arial"/>
          <w:b/>
          <w:sz w:val="24"/>
          <w:szCs w:val="24"/>
        </w:rPr>
        <w:t>.</w:t>
      </w:r>
      <w:proofErr w:type="gramEnd"/>
      <w:r>
        <w:rPr>
          <w:rFonts w:ascii="Arial" w:hAnsi="Arial" w:cs="Arial"/>
          <w:b/>
          <w:sz w:val="24"/>
          <w:szCs w:val="24"/>
        </w:rPr>
        <w:t xml:space="preserve"> </w:t>
      </w:r>
      <w:proofErr w:type="gramStart"/>
      <w:r>
        <w:rPr>
          <w:rFonts w:ascii="Arial" w:hAnsi="Arial" w:cs="Arial"/>
          <w:b/>
          <w:sz w:val="24"/>
          <w:szCs w:val="24"/>
        </w:rPr>
        <w:t xml:space="preserve">No. </w:t>
      </w:r>
      <w:r w:rsidR="005A4BE8">
        <w:rPr>
          <w:rFonts w:ascii="Arial" w:hAnsi="Arial" w:cs="Arial"/>
          <w:b/>
          <w:sz w:val="24"/>
          <w:szCs w:val="24"/>
        </w:rPr>
        <w:t>3</w:t>
      </w:r>
      <w:r>
        <w:rPr>
          <w:rFonts w:ascii="Arial" w:hAnsi="Arial" w:cs="Arial"/>
          <w:b/>
          <w:sz w:val="24"/>
          <w:szCs w:val="24"/>
        </w:rPr>
        <w:t>.</w:t>
      </w:r>
      <w:proofErr w:type="gramEnd"/>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5A4BE8">
        <w:rPr>
          <w:sz w:val="28"/>
          <w:szCs w:val="28"/>
        </w:rPr>
        <w:t>March</w:t>
      </w:r>
      <w:r w:rsidR="008F6FB1">
        <w:rPr>
          <w:sz w:val="28"/>
          <w:szCs w:val="28"/>
        </w:rPr>
        <w:t xml:space="preserve"> </w:t>
      </w:r>
      <w:r w:rsidR="00907F51">
        <w:rPr>
          <w:sz w:val="28"/>
          <w:szCs w:val="28"/>
        </w:rPr>
        <w:t>201</w:t>
      </w:r>
      <w:r w:rsidR="008F6FB1">
        <w:rPr>
          <w:sz w:val="28"/>
          <w:szCs w:val="28"/>
        </w:rPr>
        <w:t>2</w:t>
      </w:r>
    </w:p>
    <w:tbl>
      <w:tblPr>
        <w:tblW w:w="0" w:type="auto"/>
        <w:tblLook w:val="04A0" w:firstRow="1" w:lastRow="0" w:firstColumn="1" w:lastColumn="0" w:noHBand="0" w:noVBand="1"/>
      </w:tblPr>
      <w:tblGrid>
        <w:gridCol w:w="8028"/>
        <w:gridCol w:w="828"/>
      </w:tblGrid>
      <w:tr w:rsidR="008F6FB1" w:rsidTr="00FF36CB">
        <w:tc>
          <w:tcPr>
            <w:tcW w:w="8028" w:type="dxa"/>
          </w:tcPr>
          <w:p w:rsidR="008F6FB1" w:rsidRDefault="008F6FB1" w:rsidP="00C20B20">
            <w:pPr>
              <w:pStyle w:val="Heading5"/>
            </w:pPr>
          </w:p>
        </w:tc>
        <w:tc>
          <w:tcPr>
            <w:tcW w:w="828" w:type="dxa"/>
          </w:tcPr>
          <w:p w:rsidR="008F6FB1" w:rsidRDefault="008F6FB1" w:rsidP="00372911">
            <w:pPr>
              <w:pStyle w:val="Heading5"/>
            </w:pPr>
            <w:r>
              <w:t>Page</w:t>
            </w:r>
          </w:p>
        </w:tc>
      </w:tr>
      <w:tr w:rsidR="008F6FB1" w:rsidTr="00FF36CB">
        <w:tc>
          <w:tcPr>
            <w:tcW w:w="8028" w:type="dxa"/>
          </w:tcPr>
          <w:p w:rsidR="008F6FB1" w:rsidRPr="00150381" w:rsidRDefault="005E5BDD" w:rsidP="00E74431">
            <w:pPr>
              <w:pStyle w:val="Heading3"/>
              <w:spacing w:before="0" w:after="0"/>
              <w:rPr>
                <w:sz w:val="22"/>
                <w:szCs w:val="22"/>
              </w:rPr>
            </w:pPr>
            <w:hyperlink w:anchor="_Creativity" w:history="1">
              <w:r w:rsidR="00150381" w:rsidRPr="00E74431">
                <w:rPr>
                  <w:rStyle w:val="Hyperlink"/>
                  <w:sz w:val="22"/>
                  <w:szCs w:val="22"/>
                </w:rPr>
                <w:t xml:space="preserve">Editorial: </w:t>
              </w:r>
              <w:r w:rsidR="00E74431" w:rsidRPr="00E74431">
                <w:rPr>
                  <w:rStyle w:val="Hyperlink"/>
                  <w:sz w:val="22"/>
                  <w:szCs w:val="22"/>
                </w:rPr>
                <w:t>Creativity</w:t>
              </w:r>
            </w:hyperlink>
          </w:p>
        </w:tc>
        <w:tc>
          <w:tcPr>
            <w:tcW w:w="828" w:type="dxa"/>
          </w:tcPr>
          <w:p w:rsidR="008F6FB1" w:rsidRPr="00FF36CB" w:rsidRDefault="00C20B20" w:rsidP="00150381">
            <w:pPr>
              <w:spacing w:before="0" w:after="0"/>
              <w:jc w:val="center"/>
              <w:rPr>
                <w:rFonts w:ascii="Arial" w:hAnsi="Arial" w:cs="Arial"/>
                <w:b/>
                <w:szCs w:val="22"/>
              </w:rPr>
            </w:pPr>
            <w:r w:rsidRPr="00FF36CB">
              <w:rPr>
                <w:rFonts w:ascii="Arial" w:hAnsi="Arial" w:cs="Arial"/>
                <w:b/>
                <w:szCs w:val="22"/>
              </w:rPr>
              <w:t>1</w:t>
            </w:r>
          </w:p>
        </w:tc>
      </w:tr>
      <w:tr w:rsidR="008F6FB1" w:rsidRPr="00150381" w:rsidTr="00FF36CB">
        <w:tc>
          <w:tcPr>
            <w:tcW w:w="8028" w:type="dxa"/>
          </w:tcPr>
          <w:p w:rsidR="008F6FB1" w:rsidRPr="00150381" w:rsidRDefault="00C20B20" w:rsidP="00150381">
            <w:pPr>
              <w:spacing w:before="0" w:after="0"/>
              <w:rPr>
                <w:rFonts w:ascii="Arial" w:hAnsi="Arial" w:cs="Arial"/>
                <w:sz w:val="20"/>
              </w:rPr>
            </w:pPr>
            <w:r w:rsidRPr="00150381">
              <w:rPr>
                <w:rFonts w:ascii="Arial" w:hAnsi="Arial" w:cs="Arial"/>
                <w:sz w:val="20"/>
              </w:rPr>
              <w:t>Donald G. Perrin</w:t>
            </w:r>
            <w:r w:rsidR="00150381" w:rsidRPr="00150381">
              <w:rPr>
                <w:rFonts w:ascii="Arial" w:hAnsi="Arial" w:cs="Arial"/>
                <w:sz w:val="20"/>
              </w:rPr>
              <w:br/>
            </w:r>
          </w:p>
        </w:tc>
        <w:tc>
          <w:tcPr>
            <w:tcW w:w="828" w:type="dxa"/>
          </w:tcPr>
          <w:p w:rsidR="008F6FB1" w:rsidRPr="00FF36CB" w:rsidRDefault="008F6FB1" w:rsidP="00150381">
            <w:pPr>
              <w:spacing w:before="0" w:after="0"/>
              <w:jc w:val="center"/>
              <w:rPr>
                <w:rFonts w:ascii="Arial" w:hAnsi="Arial" w:cs="Arial"/>
                <w:b/>
                <w:sz w:val="20"/>
              </w:rPr>
            </w:pPr>
          </w:p>
        </w:tc>
      </w:tr>
      <w:tr w:rsidR="008F6FB1" w:rsidTr="00FF36CB">
        <w:tc>
          <w:tcPr>
            <w:tcW w:w="8028" w:type="dxa"/>
          </w:tcPr>
          <w:p w:rsidR="008F6FB1" w:rsidRPr="00150381" w:rsidRDefault="005E5BDD" w:rsidP="00FF36CB">
            <w:pPr>
              <w:pStyle w:val="Heading3"/>
              <w:spacing w:before="0" w:after="0"/>
              <w:rPr>
                <w:sz w:val="22"/>
                <w:szCs w:val="22"/>
              </w:rPr>
            </w:pPr>
            <w:hyperlink w:anchor="_The_Effects_of" w:history="1">
              <w:r w:rsidR="00C20B20" w:rsidRPr="00E74431">
                <w:rPr>
                  <w:rStyle w:val="Hyperlink"/>
                  <w:sz w:val="22"/>
                  <w:szCs w:val="22"/>
                </w:rPr>
                <w:t>Effects of Hypermedia-Supported Knowledge Organizers on Construction of Conceptual and Procedural Meaning in a College Classroom</w:t>
              </w:r>
            </w:hyperlink>
          </w:p>
        </w:tc>
        <w:tc>
          <w:tcPr>
            <w:tcW w:w="828" w:type="dxa"/>
          </w:tcPr>
          <w:p w:rsidR="008F6FB1" w:rsidRPr="00FF36CB" w:rsidRDefault="00C20B20" w:rsidP="00150381">
            <w:pPr>
              <w:spacing w:before="0" w:after="0"/>
              <w:jc w:val="center"/>
              <w:rPr>
                <w:rFonts w:ascii="Arial" w:hAnsi="Arial" w:cs="Arial"/>
                <w:b/>
                <w:szCs w:val="22"/>
              </w:rPr>
            </w:pPr>
            <w:r w:rsidRPr="00FF36CB">
              <w:rPr>
                <w:rFonts w:ascii="Arial" w:hAnsi="Arial" w:cs="Arial"/>
                <w:b/>
                <w:szCs w:val="22"/>
              </w:rPr>
              <w:t>3</w:t>
            </w:r>
          </w:p>
        </w:tc>
      </w:tr>
      <w:tr w:rsidR="008F6FB1" w:rsidRPr="00150381" w:rsidTr="00FF36CB">
        <w:tc>
          <w:tcPr>
            <w:tcW w:w="8028" w:type="dxa"/>
          </w:tcPr>
          <w:p w:rsidR="008F6FB1" w:rsidRPr="00150381" w:rsidRDefault="00C20B20" w:rsidP="00150381">
            <w:pPr>
              <w:pStyle w:val="Heading5"/>
              <w:spacing w:before="0" w:after="0"/>
              <w:jc w:val="left"/>
              <w:rPr>
                <w:rFonts w:cs="Arial"/>
                <w:b w:val="0"/>
                <w:sz w:val="20"/>
              </w:rPr>
            </w:pPr>
            <w:r w:rsidRPr="00150381">
              <w:rPr>
                <w:rFonts w:cs="Arial"/>
                <w:b w:val="0"/>
                <w:sz w:val="20"/>
              </w:rPr>
              <w:t>Leticia Hernandez de Hahn</w:t>
            </w:r>
            <w:r w:rsidR="00150381" w:rsidRPr="00150381">
              <w:rPr>
                <w:rFonts w:cs="Arial"/>
                <w:b w:val="0"/>
                <w:sz w:val="20"/>
              </w:rPr>
              <w:br/>
            </w:r>
          </w:p>
        </w:tc>
        <w:tc>
          <w:tcPr>
            <w:tcW w:w="828" w:type="dxa"/>
          </w:tcPr>
          <w:p w:rsidR="008F6FB1" w:rsidRPr="00FF36CB" w:rsidRDefault="008F6FB1" w:rsidP="00150381">
            <w:pPr>
              <w:spacing w:before="0" w:after="0"/>
              <w:jc w:val="center"/>
              <w:rPr>
                <w:rFonts w:ascii="Arial" w:hAnsi="Arial" w:cs="Arial"/>
                <w:b/>
                <w:sz w:val="20"/>
              </w:rPr>
            </w:pPr>
          </w:p>
        </w:tc>
      </w:tr>
      <w:tr w:rsidR="00271E24" w:rsidRPr="00150381" w:rsidTr="00A50BD0">
        <w:tc>
          <w:tcPr>
            <w:tcW w:w="8028" w:type="dxa"/>
          </w:tcPr>
          <w:p w:rsidR="00271E24" w:rsidRPr="00271E24" w:rsidRDefault="005E5BDD" w:rsidP="009C094E">
            <w:pPr>
              <w:pStyle w:val="Heading3"/>
              <w:spacing w:before="0" w:after="0"/>
              <w:rPr>
                <w:sz w:val="22"/>
                <w:szCs w:val="22"/>
              </w:rPr>
            </w:pPr>
            <w:hyperlink w:anchor="_The_Web-Based_Creativity" w:history="1">
              <w:r w:rsidR="00271E24" w:rsidRPr="00E74431">
                <w:rPr>
                  <w:rStyle w:val="Hyperlink"/>
                  <w:sz w:val="22"/>
                  <w:szCs w:val="22"/>
                </w:rPr>
                <w:t>The Web-Based Creativity Model©: A New Approach for Creativity Integration to Achieve Industry and Learning-Organization Competencies in Online Graduate Classes</w:t>
              </w:r>
            </w:hyperlink>
          </w:p>
        </w:tc>
        <w:tc>
          <w:tcPr>
            <w:tcW w:w="828" w:type="dxa"/>
          </w:tcPr>
          <w:p w:rsidR="00271E24" w:rsidRPr="00FF36CB" w:rsidRDefault="00271E24" w:rsidP="00A50BD0">
            <w:pPr>
              <w:spacing w:before="0" w:after="0"/>
              <w:jc w:val="center"/>
              <w:rPr>
                <w:rFonts w:ascii="Arial" w:hAnsi="Arial" w:cs="Arial"/>
                <w:b/>
                <w:sz w:val="20"/>
              </w:rPr>
            </w:pPr>
            <w:r>
              <w:rPr>
                <w:rFonts w:ascii="Arial" w:hAnsi="Arial" w:cs="Arial"/>
                <w:b/>
                <w:sz w:val="20"/>
              </w:rPr>
              <w:t>21</w:t>
            </w:r>
          </w:p>
        </w:tc>
      </w:tr>
      <w:tr w:rsidR="00271E24" w:rsidRPr="00150381" w:rsidTr="00A50BD0">
        <w:tc>
          <w:tcPr>
            <w:tcW w:w="8028" w:type="dxa"/>
          </w:tcPr>
          <w:p w:rsidR="00271E24" w:rsidRPr="00150381" w:rsidRDefault="00271E24" w:rsidP="00271E24">
            <w:pPr>
              <w:spacing w:before="0" w:after="0"/>
              <w:rPr>
                <w:rFonts w:cs="Arial"/>
                <w:b/>
                <w:sz w:val="20"/>
              </w:rPr>
            </w:pPr>
            <w:r w:rsidRPr="00271E24">
              <w:rPr>
                <w:rFonts w:ascii="Arial" w:hAnsi="Arial" w:cs="Arial"/>
                <w:sz w:val="20"/>
              </w:rPr>
              <w:t xml:space="preserve">Brent </w:t>
            </w:r>
            <w:proofErr w:type="spellStart"/>
            <w:r w:rsidRPr="00271E24">
              <w:rPr>
                <w:rFonts w:ascii="Arial" w:hAnsi="Arial" w:cs="Arial"/>
                <w:sz w:val="20"/>
              </w:rPr>
              <w:t>Muirhead</w:t>
            </w:r>
            <w:proofErr w:type="spellEnd"/>
            <w:r w:rsidRPr="00271E24">
              <w:rPr>
                <w:rFonts w:ascii="Arial" w:hAnsi="Arial" w:cs="Arial"/>
                <w:sz w:val="20"/>
              </w:rPr>
              <w:t xml:space="preserve">, John </w:t>
            </w:r>
            <w:proofErr w:type="spellStart"/>
            <w:r w:rsidRPr="00271E24">
              <w:rPr>
                <w:rFonts w:ascii="Arial" w:hAnsi="Arial" w:cs="Arial"/>
                <w:sz w:val="20"/>
              </w:rPr>
              <w:t>DeNigris</w:t>
            </w:r>
            <w:proofErr w:type="spellEnd"/>
            <w:r w:rsidRPr="00271E24">
              <w:rPr>
                <w:rFonts w:ascii="Arial" w:hAnsi="Arial" w:cs="Arial"/>
                <w:sz w:val="20"/>
              </w:rPr>
              <w:t xml:space="preserve"> III</w:t>
            </w:r>
            <w:r>
              <w:rPr>
                <w:rFonts w:ascii="Arial" w:hAnsi="Arial" w:cs="Arial"/>
                <w:sz w:val="20"/>
              </w:rPr>
              <w:t xml:space="preserve"> and</w:t>
            </w:r>
            <w:r w:rsidRPr="00271E24">
              <w:rPr>
                <w:rFonts w:ascii="Arial" w:hAnsi="Arial" w:cs="Arial"/>
                <w:sz w:val="20"/>
              </w:rPr>
              <w:t xml:space="preserve"> Jean R. Perlman</w:t>
            </w:r>
            <w:r w:rsidRPr="00271E24">
              <w:rPr>
                <w:rFonts w:ascii="Arial" w:hAnsi="Arial" w:cs="Arial"/>
                <w:sz w:val="20"/>
              </w:rPr>
              <w:br/>
            </w:r>
          </w:p>
        </w:tc>
        <w:tc>
          <w:tcPr>
            <w:tcW w:w="828" w:type="dxa"/>
          </w:tcPr>
          <w:p w:rsidR="00271E24" w:rsidRPr="00FF36CB" w:rsidRDefault="00271E24" w:rsidP="00A50BD0">
            <w:pPr>
              <w:spacing w:before="0" w:after="0"/>
              <w:jc w:val="center"/>
              <w:rPr>
                <w:rFonts w:ascii="Arial" w:hAnsi="Arial" w:cs="Arial"/>
                <w:b/>
                <w:sz w:val="20"/>
              </w:rPr>
            </w:pPr>
          </w:p>
        </w:tc>
      </w:tr>
      <w:tr w:rsidR="00271E24" w:rsidTr="00FF36CB">
        <w:tc>
          <w:tcPr>
            <w:tcW w:w="8028" w:type="dxa"/>
          </w:tcPr>
          <w:p w:rsidR="00271E24" w:rsidRPr="00150381" w:rsidRDefault="005E5BDD" w:rsidP="00FF36CB">
            <w:pPr>
              <w:pStyle w:val="Heading3"/>
              <w:spacing w:before="0" w:after="0"/>
              <w:rPr>
                <w:sz w:val="22"/>
                <w:szCs w:val="22"/>
              </w:rPr>
            </w:pPr>
            <w:hyperlink w:anchor="_Combining_Creativity_and" w:history="1">
              <w:r w:rsidR="00271E24" w:rsidRPr="00E74431">
                <w:rPr>
                  <w:rStyle w:val="Hyperlink"/>
                  <w:sz w:val="22"/>
                  <w:szCs w:val="22"/>
                </w:rPr>
                <w:t xml:space="preserve">Combining Creativity and Civilization: A Natural Experiment </w:t>
              </w:r>
              <w:r w:rsidR="00271E24" w:rsidRPr="00E74431">
                <w:rPr>
                  <w:rStyle w:val="Hyperlink"/>
                  <w:sz w:val="22"/>
                  <w:szCs w:val="22"/>
                </w:rPr>
                <w:br/>
                <w:t>in a General Education, University Course</w:t>
              </w:r>
            </w:hyperlink>
          </w:p>
        </w:tc>
        <w:tc>
          <w:tcPr>
            <w:tcW w:w="828" w:type="dxa"/>
          </w:tcPr>
          <w:p w:rsidR="00271E24" w:rsidRPr="00FF36CB" w:rsidRDefault="00271E24" w:rsidP="00150381">
            <w:pPr>
              <w:spacing w:before="0" w:after="0"/>
              <w:jc w:val="center"/>
              <w:rPr>
                <w:rFonts w:ascii="Arial" w:hAnsi="Arial" w:cs="Arial"/>
                <w:b/>
                <w:szCs w:val="22"/>
              </w:rPr>
            </w:pPr>
            <w:r>
              <w:rPr>
                <w:rFonts w:ascii="Arial" w:hAnsi="Arial" w:cs="Arial"/>
                <w:b/>
                <w:szCs w:val="22"/>
              </w:rPr>
              <w:t>33</w:t>
            </w:r>
          </w:p>
        </w:tc>
      </w:tr>
      <w:tr w:rsidR="00271E24" w:rsidRPr="00150381" w:rsidTr="00FF36CB">
        <w:tc>
          <w:tcPr>
            <w:tcW w:w="8028" w:type="dxa"/>
          </w:tcPr>
          <w:p w:rsidR="00271E24" w:rsidRPr="00150381" w:rsidRDefault="00271E24" w:rsidP="00271E24">
            <w:pPr>
              <w:pStyle w:val="Heading5"/>
              <w:spacing w:before="0" w:after="0"/>
              <w:jc w:val="left"/>
              <w:rPr>
                <w:rFonts w:cs="Arial"/>
                <w:b w:val="0"/>
                <w:sz w:val="20"/>
              </w:rPr>
            </w:pPr>
            <w:r w:rsidRPr="00150381">
              <w:rPr>
                <w:rFonts w:cs="Arial"/>
                <w:b w:val="0"/>
                <w:sz w:val="20"/>
              </w:rPr>
              <w:t xml:space="preserve">Eric C. </w:t>
            </w:r>
            <w:proofErr w:type="spellStart"/>
            <w:r w:rsidRPr="00150381">
              <w:rPr>
                <w:rFonts w:cs="Arial"/>
                <w:b w:val="0"/>
                <w:sz w:val="20"/>
              </w:rPr>
              <w:t>Dahlin</w:t>
            </w:r>
            <w:proofErr w:type="spellEnd"/>
            <w:r w:rsidRPr="00150381">
              <w:rPr>
                <w:rFonts w:cs="Arial"/>
                <w:b w:val="0"/>
                <w:sz w:val="20"/>
              </w:rPr>
              <w:t>, A. Brent Strong</w:t>
            </w:r>
            <w:r>
              <w:rPr>
                <w:rFonts w:cs="Arial"/>
                <w:b w:val="0"/>
                <w:sz w:val="20"/>
              </w:rPr>
              <w:t xml:space="preserve"> and</w:t>
            </w:r>
            <w:r w:rsidRPr="00150381">
              <w:rPr>
                <w:rFonts w:cs="Arial"/>
                <w:b w:val="0"/>
                <w:sz w:val="20"/>
              </w:rPr>
              <w:t xml:space="preserve"> Scott D. </w:t>
            </w:r>
            <w:proofErr w:type="spellStart"/>
            <w:r w:rsidRPr="00150381">
              <w:rPr>
                <w:rFonts w:cs="Arial"/>
                <w:b w:val="0"/>
                <w:sz w:val="20"/>
              </w:rPr>
              <w:t>Grimshaw</w:t>
            </w:r>
            <w:proofErr w:type="spellEnd"/>
            <w:r w:rsidRPr="00150381">
              <w:rPr>
                <w:rFonts w:cs="Arial"/>
                <w:b w:val="0"/>
                <w:sz w:val="20"/>
              </w:rPr>
              <w:t xml:space="preserve"> </w:t>
            </w:r>
            <w:r w:rsidRPr="00150381">
              <w:rPr>
                <w:rFonts w:cs="Arial"/>
                <w:b w:val="0"/>
                <w:sz w:val="20"/>
              </w:rPr>
              <w:br/>
            </w:r>
          </w:p>
        </w:tc>
        <w:tc>
          <w:tcPr>
            <w:tcW w:w="828" w:type="dxa"/>
          </w:tcPr>
          <w:p w:rsidR="00271E24" w:rsidRPr="00FF36CB" w:rsidRDefault="00271E24" w:rsidP="00150381">
            <w:pPr>
              <w:spacing w:before="0" w:after="0"/>
              <w:jc w:val="center"/>
              <w:rPr>
                <w:rFonts w:ascii="Arial" w:hAnsi="Arial" w:cs="Arial"/>
                <w:b/>
                <w:sz w:val="20"/>
              </w:rPr>
            </w:pPr>
          </w:p>
        </w:tc>
      </w:tr>
      <w:tr w:rsidR="00271E24" w:rsidRPr="00150381" w:rsidTr="00FF36CB">
        <w:tc>
          <w:tcPr>
            <w:tcW w:w="8028" w:type="dxa"/>
          </w:tcPr>
          <w:p w:rsidR="00271E24" w:rsidRPr="00150381" w:rsidRDefault="005E5BDD" w:rsidP="00D07C8C">
            <w:pPr>
              <w:pStyle w:val="Heading3"/>
              <w:spacing w:before="0" w:after="0"/>
              <w:rPr>
                <w:sz w:val="22"/>
                <w:szCs w:val="22"/>
              </w:rPr>
            </w:pPr>
            <w:hyperlink w:anchor="_Structuring_Group_Activities" w:history="1">
              <w:r w:rsidR="00271E24" w:rsidRPr="00E74431">
                <w:rPr>
                  <w:rStyle w:val="Hyperlink"/>
                  <w:sz w:val="22"/>
                  <w:szCs w:val="22"/>
                </w:rPr>
                <w:t>Structuring Group Activities for Success in Online Courses</w:t>
              </w:r>
            </w:hyperlink>
          </w:p>
        </w:tc>
        <w:tc>
          <w:tcPr>
            <w:tcW w:w="828" w:type="dxa"/>
          </w:tcPr>
          <w:p w:rsidR="00271E24" w:rsidRPr="00FF36CB" w:rsidRDefault="00271E24" w:rsidP="00150381">
            <w:pPr>
              <w:spacing w:before="0" w:after="0"/>
              <w:jc w:val="center"/>
              <w:rPr>
                <w:rFonts w:ascii="Arial" w:hAnsi="Arial" w:cs="Arial"/>
                <w:b/>
                <w:sz w:val="20"/>
              </w:rPr>
            </w:pPr>
            <w:r>
              <w:rPr>
                <w:rFonts w:ascii="Arial" w:hAnsi="Arial" w:cs="Arial"/>
                <w:b/>
                <w:sz w:val="20"/>
              </w:rPr>
              <w:t>43</w:t>
            </w:r>
          </w:p>
        </w:tc>
      </w:tr>
      <w:tr w:rsidR="00271E24" w:rsidRPr="00150381" w:rsidTr="00FF36CB">
        <w:tc>
          <w:tcPr>
            <w:tcW w:w="8028" w:type="dxa"/>
          </w:tcPr>
          <w:p w:rsidR="00271E24" w:rsidRPr="00150381" w:rsidRDefault="00271E24" w:rsidP="00D07C8C">
            <w:pPr>
              <w:pStyle w:val="Heading5"/>
              <w:spacing w:before="0" w:after="0"/>
              <w:jc w:val="left"/>
              <w:rPr>
                <w:rFonts w:cs="Arial"/>
                <w:b w:val="0"/>
                <w:sz w:val="20"/>
              </w:rPr>
            </w:pPr>
            <w:r w:rsidRPr="00150381">
              <w:rPr>
                <w:rFonts w:cs="Arial"/>
                <w:b w:val="0"/>
                <w:sz w:val="20"/>
              </w:rPr>
              <w:t xml:space="preserve">Dan </w:t>
            </w:r>
            <w:proofErr w:type="spellStart"/>
            <w:r w:rsidRPr="00150381">
              <w:rPr>
                <w:rFonts w:cs="Arial"/>
                <w:b w:val="0"/>
                <w:sz w:val="20"/>
              </w:rPr>
              <w:t>Keast</w:t>
            </w:r>
            <w:proofErr w:type="spellEnd"/>
            <w:r w:rsidRPr="00150381">
              <w:rPr>
                <w:rFonts w:cs="Arial"/>
                <w:b w:val="0"/>
                <w:sz w:val="20"/>
              </w:rPr>
              <w:br/>
            </w:r>
          </w:p>
        </w:tc>
        <w:tc>
          <w:tcPr>
            <w:tcW w:w="828" w:type="dxa"/>
          </w:tcPr>
          <w:p w:rsidR="00271E24" w:rsidRPr="00FF36CB" w:rsidRDefault="00271E24" w:rsidP="00150381">
            <w:pPr>
              <w:spacing w:before="0" w:after="0"/>
              <w:jc w:val="center"/>
              <w:rPr>
                <w:rFonts w:ascii="Arial" w:hAnsi="Arial" w:cs="Arial"/>
                <w:b/>
                <w:sz w:val="20"/>
              </w:rPr>
            </w:pPr>
          </w:p>
        </w:tc>
      </w:tr>
      <w:tr w:rsidR="00271E24" w:rsidTr="00FF36CB">
        <w:tc>
          <w:tcPr>
            <w:tcW w:w="8028" w:type="dxa"/>
          </w:tcPr>
          <w:p w:rsidR="00271E24" w:rsidRPr="00150381" w:rsidRDefault="00271E24" w:rsidP="00271E24">
            <w:pPr>
              <w:pStyle w:val="Heading3"/>
              <w:spacing w:before="0" w:after="0"/>
              <w:rPr>
                <w:sz w:val="22"/>
                <w:szCs w:val="22"/>
              </w:rPr>
            </w:pPr>
          </w:p>
        </w:tc>
        <w:tc>
          <w:tcPr>
            <w:tcW w:w="828" w:type="dxa"/>
          </w:tcPr>
          <w:p w:rsidR="00271E24" w:rsidRPr="00FF36CB" w:rsidRDefault="00271E24" w:rsidP="006B405F">
            <w:pPr>
              <w:spacing w:before="0" w:after="0"/>
              <w:jc w:val="center"/>
              <w:rPr>
                <w:rFonts w:ascii="Arial" w:hAnsi="Arial" w:cs="Arial"/>
                <w:b/>
                <w:szCs w:val="22"/>
              </w:rPr>
            </w:pPr>
          </w:p>
        </w:tc>
      </w:tr>
      <w:tr w:rsidR="00271E24" w:rsidRPr="00150381" w:rsidTr="00FF36CB">
        <w:tc>
          <w:tcPr>
            <w:tcW w:w="8028" w:type="dxa"/>
          </w:tcPr>
          <w:p w:rsidR="00271E24" w:rsidRPr="00150381" w:rsidRDefault="00271E24" w:rsidP="00A9740D">
            <w:pPr>
              <w:spacing w:before="0" w:after="0"/>
              <w:rPr>
                <w:rFonts w:ascii="Arial" w:hAnsi="Arial" w:cs="Arial"/>
                <w:sz w:val="20"/>
              </w:rPr>
            </w:pPr>
          </w:p>
        </w:tc>
        <w:tc>
          <w:tcPr>
            <w:tcW w:w="828" w:type="dxa"/>
          </w:tcPr>
          <w:p w:rsidR="00271E24" w:rsidRPr="00FF36CB" w:rsidRDefault="00271E24" w:rsidP="00150381">
            <w:pPr>
              <w:spacing w:before="0" w:after="0"/>
              <w:jc w:val="center"/>
              <w:rPr>
                <w:rFonts w:ascii="Arial" w:hAnsi="Arial" w:cs="Arial"/>
                <w:b/>
                <w:sz w:val="20"/>
              </w:rPr>
            </w:pPr>
          </w:p>
        </w:tc>
      </w:tr>
      <w:tr w:rsidR="00271E24" w:rsidTr="00FF36CB">
        <w:tc>
          <w:tcPr>
            <w:tcW w:w="8028" w:type="dxa"/>
          </w:tcPr>
          <w:p w:rsidR="00271E24" w:rsidRPr="00A174CA" w:rsidRDefault="00271E24" w:rsidP="00A174CA">
            <w:pPr>
              <w:pStyle w:val="Heading3"/>
              <w:spacing w:before="0" w:after="0"/>
              <w:rPr>
                <w:sz w:val="22"/>
                <w:szCs w:val="22"/>
              </w:rPr>
            </w:pPr>
          </w:p>
        </w:tc>
        <w:tc>
          <w:tcPr>
            <w:tcW w:w="828" w:type="dxa"/>
          </w:tcPr>
          <w:p w:rsidR="00271E24" w:rsidRPr="00FF36CB" w:rsidRDefault="00271E24" w:rsidP="00150381">
            <w:pPr>
              <w:spacing w:before="0" w:after="0"/>
              <w:jc w:val="center"/>
              <w:rPr>
                <w:rFonts w:ascii="Arial" w:hAnsi="Arial" w:cs="Arial"/>
                <w:b/>
                <w:szCs w:val="22"/>
              </w:rPr>
            </w:pPr>
          </w:p>
        </w:tc>
      </w:tr>
      <w:tr w:rsidR="00271E24" w:rsidTr="00FF36CB">
        <w:tc>
          <w:tcPr>
            <w:tcW w:w="8028" w:type="dxa"/>
          </w:tcPr>
          <w:p w:rsidR="00271E24" w:rsidRPr="00150381" w:rsidRDefault="00271E24" w:rsidP="00A174CA">
            <w:pPr>
              <w:pStyle w:val="Heading5"/>
              <w:spacing w:before="0" w:after="0"/>
              <w:jc w:val="left"/>
              <w:rPr>
                <w:szCs w:val="22"/>
              </w:rPr>
            </w:pPr>
          </w:p>
        </w:tc>
        <w:tc>
          <w:tcPr>
            <w:tcW w:w="828" w:type="dxa"/>
          </w:tcPr>
          <w:p w:rsidR="00271E24" w:rsidRPr="00FF36CB" w:rsidRDefault="00271E24" w:rsidP="00150381">
            <w:pPr>
              <w:spacing w:before="0" w:after="0"/>
              <w:jc w:val="center"/>
              <w:rPr>
                <w:rFonts w:ascii="Arial" w:hAnsi="Arial" w:cs="Arial"/>
                <w:b/>
                <w:szCs w:val="22"/>
              </w:rPr>
            </w:pPr>
          </w:p>
        </w:tc>
      </w:tr>
    </w:tbl>
    <w:p w:rsidR="008A33CF" w:rsidRDefault="008A33CF" w:rsidP="00DB6BE5">
      <w:pPr>
        <w:spacing w:after="0"/>
      </w:pPr>
    </w:p>
    <w:p w:rsidR="008A33CF" w:rsidRDefault="008A33CF" w:rsidP="008A33CF">
      <w:r>
        <w:br w:type="page"/>
      </w:r>
    </w:p>
    <w:p w:rsidR="00604852" w:rsidRDefault="00604852" w:rsidP="00DB6BE5">
      <w:pPr>
        <w:spacing w:after="0"/>
      </w:pPr>
    </w:p>
    <w:p w:rsidR="00604852" w:rsidRDefault="00604852" w:rsidP="00DB6BE5">
      <w:pPr>
        <w:spacing w:after="0"/>
        <w:sectPr w:rsidR="00604852" w:rsidSect="00DB6BE5">
          <w:headerReference w:type="even" r:id="rId11"/>
          <w:headerReference w:type="default" r:id="rId12"/>
          <w:footerReference w:type="even" r:id="rId13"/>
          <w:footerReference w:type="default" r:id="rId14"/>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t>Editorial</w:t>
      </w:r>
    </w:p>
    <w:p w:rsidR="0026797F" w:rsidRDefault="00944C4C" w:rsidP="0026797F">
      <w:pPr>
        <w:pStyle w:val="Heading1"/>
      </w:pPr>
      <w:bookmarkStart w:id="3" w:name="_Creativity"/>
      <w:bookmarkEnd w:id="3"/>
      <w:r>
        <w:t>Creativity</w:t>
      </w:r>
    </w:p>
    <w:p w:rsidR="0026797F" w:rsidRDefault="0026797F" w:rsidP="0026797F">
      <w:pPr>
        <w:pStyle w:val="Heading5"/>
      </w:pPr>
      <w:r>
        <w:t>Donald G. Perrin</w:t>
      </w:r>
    </w:p>
    <w:p w:rsidR="005C03A4" w:rsidRDefault="005C03A4" w:rsidP="00310E63">
      <w:pPr>
        <w:ind w:left="720" w:hanging="720"/>
      </w:pPr>
    </w:p>
    <w:p w:rsidR="00BD4C53" w:rsidRDefault="00944C4C" w:rsidP="00944C4C">
      <w:r>
        <w:t xml:space="preserve">The success of the Silicon Valley in Northern California began with the PC. You can trace its many roots in companies like Apple Computer, Microsoft, IBM, Hewlett Packard, Xerox, Sun Microsystems and many others. The Silicon Valley became a Mecca for innovators and startup companies. It attracted innovators, engineers, scientists, programmers, and </w:t>
      </w:r>
      <w:r w:rsidR="00BD4C53">
        <w:t>entrepreneurs.</w:t>
      </w:r>
      <w:r>
        <w:t xml:space="preserve"> Their products </w:t>
      </w:r>
      <w:r w:rsidR="00BD4C53">
        <w:t>and services have expanded in to every area of commerce and education, military and government, arts and sciences, social services and philanthropic organizations. The Silicon Valley model has been emulated in many countries as we moved into the information age connected by the Internet.</w:t>
      </w:r>
    </w:p>
    <w:p w:rsidR="00D352DF" w:rsidRDefault="00BD4C53" w:rsidP="00944C4C">
      <w:r>
        <w:t xml:space="preserve">Creative talent was recruited from around the world to feed the explosive growth of </w:t>
      </w:r>
      <w:r w:rsidR="00D352DF">
        <w:t xml:space="preserve">industries dedicated to </w:t>
      </w:r>
      <w:r>
        <w:t xml:space="preserve">computers and networks and programs and applications. I was there when Industry groups approached local universities with the question – can you produce large numbers of students who are creative and technically competent for our industry? And how long will it take? These were baffling </w:t>
      </w:r>
      <w:r w:rsidR="00D352DF">
        <w:t xml:space="preserve">questions </w:t>
      </w:r>
      <w:r>
        <w:t>for institutions designed to turn out the traditional product</w:t>
      </w:r>
      <w:r w:rsidR="00D352DF">
        <w:t xml:space="preserve"> with bachelors and masters degrees. Some industries set up their own universities. Others partnered with institutions that were ready to meet the challenge. The research base on creativity was inadequate to support the demand.</w:t>
      </w:r>
    </w:p>
    <w:p w:rsidR="00D352DF" w:rsidRDefault="00D352DF" w:rsidP="00944C4C">
      <w:r>
        <w:t>25 years later there is still a shortage of creative talent in the computer industry. Some of the giants who built the industry, like Steve Jobs, have come and gone. Most educational groups are still turning out their “traditional” product, with the notable exception of distance learning which is direct more toward the “non-traditional” learner. In the interim, the economic collapse has left the educational sector in disarray with smaller budgets and many more people needing initial training or retraining.</w:t>
      </w:r>
    </w:p>
    <w:p w:rsidR="00944C4C" w:rsidRDefault="00D352DF" w:rsidP="00944C4C">
      <w:r>
        <w:t>This issue of the Journal ha</w:t>
      </w:r>
      <w:r w:rsidR="0070613B">
        <w:t>s</w:t>
      </w:r>
      <w:r>
        <w:t xml:space="preserve"> some new papers on creativity and performance. Hopefully this will stimulate </w:t>
      </w:r>
      <w:r w:rsidR="0070613B">
        <w:t xml:space="preserve">thousands of conversations and a flood of new research and development projects. The research findings will require interpretation and validation, and ultimately they will be embedded in software and applications. </w:t>
      </w:r>
    </w:p>
    <w:p w:rsidR="00944C4C" w:rsidRDefault="00944C4C" w:rsidP="00944C4C"/>
    <w:p w:rsidR="005C03A4" w:rsidRDefault="005C03A4" w:rsidP="00310E63">
      <w:pPr>
        <w:ind w:left="720" w:hanging="720"/>
      </w:pPr>
    </w:p>
    <w:p w:rsidR="005C03A4" w:rsidRDefault="005C03A4" w:rsidP="00310E63">
      <w:pPr>
        <w:ind w:left="720" w:hanging="720"/>
      </w:pPr>
    </w:p>
    <w:p w:rsidR="005C03A4" w:rsidRDefault="005C03A4" w:rsidP="00310E63">
      <w:pPr>
        <w:ind w:left="720" w:hanging="720"/>
      </w:pPr>
    </w:p>
    <w:p w:rsidR="00E74431" w:rsidRDefault="00E74431" w:rsidP="00310E63">
      <w:pPr>
        <w:ind w:left="720" w:hanging="720"/>
      </w:pPr>
    </w:p>
    <w:p w:rsidR="00E74431" w:rsidRDefault="00E74431" w:rsidP="00310E63">
      <w:pPr>
        <w:ind w:left="720" w:hanging="720"/>
      </w:pPr>
    </w:p>
    <w:p w:rsidR="00E74431" w:rsidRDefault="00E74431" w:rsidP="00310E63">
      <w:pPr>
        <w:ind w:left="720" w:hanging="720"/>
      </w:pPr>
    </w:p>
    <w:p w:rsidR="00E74431" w:rsidRDefault="00E74431" w:rsidP="00310E63">
      <w:pPr>
        <w:ind w:left="720" w:hanging="720"/>
      </w:pPr>
    </w:p>
    <w:p w:rsidR="00E74431" w:rsidRDefault="00E74431" w:rsidP="00310E63">
      <w:pPr>
        <w:ind w:left="720" w:hanging="720"/>
      </w:pPr>
    </w:p>
    <w:p w:rsidR="00E74431" w:rsidRDefault="00E74431" w:rsidP="00310E63">
      <w:pPr>
        <w:ind w:left="720" w:hanging="720"/>
      </w:pPr>
    </w:p>
    <w:p w:rsidR="00E74431" w:rsidRDefault="00E74431" w:rsidP="00310E63">
      <w:pPr>
        <w:ind w:left="720" w:hanging="720"/>
      </w:pPr>
    </w:p>
    <w:p w:rsidR="008A33CF" w:rsidRDefault="005E5BDD" w:rsidP="00E74431">
      <w:pPr>
        <w:ind w:left="720" w:hanging="720"/>
        <w:rPr>
          <w:b/>
        </w:rPr>
      </w:pPr>
      <w:hyperlink w:anchor="TOC" w:history="1">
        <w:r w:rsidR="00E74431" w:rsidRPr="00E74431">
          <w:rPr>
            <w:rStyle w:val="Hyperlink"/>
            <w:sz w:val="16"/>
            <w:szCs w:val="16"/>
          </w:rPr>
          <w:t>Return to Table of Contents</w:t>
        </w:r>
      </w:hyperlink>
      <w:r w:rsidR="008A33CF">
        <w:rPr>
          <w:b/>
        </w:rPr>
        <w:br w:type="page"/>
      </w:r>
    </w:p>
    <w:p w:rsidR="004611C9" w:rsidRDefault="004611C9" w:rsidP="00310E63">
      <w:pPr>
        <w:ind w:left="720" w:hanging="720"/>
        <w:rPr>
          <w:rFonts w:ascii="Arial" w:hAnsi="Arial" w:cs="Arial"/>
          <w:b/>
          <w:color w:val="000000"/>
          <w:sz w:val="18"/>
          <w:szCs w:val="18"/>
          <w:lang w:eastAsia="zh-CN"/>
        </w:rPr>
      </w:pPr>
      <w:r>
        <w:rPr>
          <w:b/>
        </w:rPr>
        <w:br w:type="page"/>
      </w:r>
    </w:p>
    <w:p w:rsidR="00372911" w:rsidRDefault="00372911" w:rsidP="00372911">
      <w:pPr>
        <w:pStyle w:val="Note"/>
      </w:pPr>
      <w:r w:rsidRPr="004E07A5">
        <w:rPr>
          <w:b/>
        </w:rPr>
        <w:t>Editor’s Note</w:t>
      </w:r>
      <w:r>
        <w:t xml:space="preserve">: </w:t>
      </w:r>
      <w:r w:rsidR="000E7F71">
        <w:t>This in-depth research study has a strong foundation in theory. It builds on the collective results of a substantial body of research. It aims at higher levels of cognitive learning from Bloom</w:t>
      </w:r>
      <w:r w:rsidR="00662FA3">
        <w:t>’s</w:t>
      </w:r>
      <w:r w:rsidR="000E7F71">
        <w:t xml:space="preserve"> Taxonomy. T</w:t>
      </w:r>
      <w:r w:rsidR="006B405F">
        <w:t>est items were carefully validated</w:t>
      </w:r>
      <w:r w:rsidR="00662FA3">
        <w:t xml:space="preserve"> and t</w:t>
      </w:r>
      <w:r w:rsidR="006B405F">
        <w:t xml:space="preserve">he </w:t>
      </w:r>
      <w:r w:rsidR="00662FA3">
        <w:t xml:space="preserve">multiple analysis of </w:t>
      </w:r>
      <w:r w:rsidR="000E7F71">
        <w:t>covarian</w:t>
      </w:r>
      <w:r w:rsidR="00662FA3">
        <w:t>ce</w:t>
      </w:r>
      <w:r w:rsidR="000E7F71">
        <w:t xml:space="preserve"> sta</w:t>
      </w:r>
      <w:r w:rsidR="006B405F">
        <w:t>tistical design is excellent</w:t>
      </w:r>
      <w:r w:rsidR="000E7F71">
        <w:t>. The results are a significant contribution to knowledge of instructional design and learning styles.</w:t>
      </w:r>
    </w:p>
    <w:p w:rsidR="00372911" w:rsidRDefault="00372911" w:rsidP="00372911">
      <w:pPr>
        <w:pStyle w:val="Note"/>
      </w:pPr>
    </w:p>
    <w:p w:rsidR="00372911" w:rsidRPr="00C20B20" w:rsidRDefault="00372911" w:rsidP="00372911">
      <w:pPr>
        <w:pStyle w:val="Heading1"/>
        <w:rPr>
          <w:sz w:val="29"/>
          <w:szCs w:val="29"/>
        </w:rPr>
      </w:pPr>
      <w:bookmarkStart w:id="4" w:name="_The_Effects_of"/>
      <w:bookmarkEnd w:id="4"/>
      <w:r w:rsidRPr="00C20B20">
        <w:rPr>
          <w:sz w:val="29"/>
          <w:szCs w:val="29"/>
        </w:rPr>
        <w:t>The Effects of Hypermedia-</w:t>
      </w:r>
      <w:r w:rsidR="00C20B20" w:rsidRPr="00C20B20">
        <w:rPr>
          <w:sz w:val="29"/>
          <w:szCs w:val="29"/>
        </w:rPr>
        <w:t>S</w:t>
      </w:r>
      <w:r w:rsidRPr="00C20B20">
        <w:rPr>
          <w:sz w:val="29"/>
          <w:szCs w:val="29"/>
        </w:rPr>
        <w:t xml:space="preserve">upported Knowledge Organizers on the Construction of Conceptual and Procedural Meaning </w:t>
      </w:r>
      <w:r w:rsidR="00C20B20">
        <w:rPr>
          <w:sz w:val="29"/>
          <w:szCs w:val="29"/>
        </w:rPr>
        <w:br/>
      </w:r>
      <w:r w:rsidRPr="00C20B20">
        <w:rPr>
          <w:sz w:val="29"/>
          <w:szCs w:val="29"/>
        </w:rPr>
        <w:t>in a College Classroom</w:t>
      </w:r>
    </w:p>
    <w:p w:rsidR="00372911" w:rsidRDefault="00372911" w:rsidP="00372911">
      <w:pPr>
        <w:pStyle w:val="Heading5"/>
      </w:pPr>
      <w:r w:rsidRPr="00A15575">
        <w:t>Leticia Hernandez de Hahn</w:t>
      </w:r>
    </w:p>
    <w:p w:rsidR="00372911" w:rsidRPr="00662FA3" w:rsidRDefault="00372911" w:rsidP="00372911">
      <w:pPr>
        <w:pStyle w:val="Heading5"/>
        <w:rPr>
          <w:sz w:val="18"/>
          <w:szCs w:val="18"/>
        </w:rPr>
      </w:pPr>
      <w:bookmarkStart w:id="5" w:name="_GoBack"/>
      <w:r w:rsidRPr="00662FA3">
        <w:rPr>
          <w:sz w:val="18"/>
          <w:szCs w:val="18"/>
        </w:rPr>
        <w:t>USA</w:t>
      </w:r>
    </w:p>
    <w:bookmarkEnd w:id="5"/>
    <w:p w:rsidR="00372911" w:rsidRPr="00574F0C" w:rsidRDefault="00372911" w:rsidP="00372911">
      <w:pPr>
        <w:pStyle w:val="Heading3"/>
      </w:pPr>
      <w:r w:rsidRPr="00574F0C">
        <w:t>Abstract</w:t>
      </w:r>
    </w:p>
    <w:p w:rsidR="00372911" w:rsidRDefault="00372911" w:rsidP="00372911">
      <w:r>
        <w:t xml:space="preserve">Previous research on the use of two-dimensional graphic organizers has found that they improve the acquisition of concepts and that visual spatial learners tend to obtain increased benefits from the use of such tools. However, there is a lack of research on the effectiveness of hypermedia-supported n-dimensional organizers on the construction of conceptual and procedural knowledge. The purpose of this study was to determine the main effects and interaction effects of learning styles and learning tool (i.e., n-dimensional organizers, graphic organizers and essays—control group) on the construction of knowledge at the higher levels of Bloom’s Taxonomy in a sample of graduate and undergraduate students taking a human development course.  The results of the study indicate that students with an iconic mode of learning performed better in the graphic organizers and in the n-dimensional knowledge organizers groups than in the control group.  Students with a direct experience mode of learning performed better in the n-dimensional knowledge organizers group than in the other two groups.  </w:t>
      </w:r>
    </w:p>
    <w:p w:rsidR="00372911" w:rsidRPr="00A15575" w:rsidRDefault="00372911" w:rsidP="00372911">
      <w:pPr>
        <w:rPr>
          <w:sz w:val="20"/>
        </w:rPr>
      </w:pPr>
      <w:r w:rsidRPr="00A15575">
        <w:rPr>
          <w:b/>
          <w:sz w:val="20"/>
        </w:rPr>
        <w:t>Keywords</w:t>
      </w:r>
      <w:r w:rsidRPr="00A15575">
        <w:rPr>
          <w:sz w:val="20"/>
        </w:rPr>
        <w:t xml:space="preserve">: Graphic organizers, knowledge organizers, hypermedia, hypertext, conceptual knowledge, procedural knowledge, learning styles, schema theory, Dual Coding Theory, constructivism.  </w:t>
      </w:r>
    </w:p>
    <w:p w:rsidR="00372911" w:rsidRDefault="00372911" w:rsidP="00372911">
      <w:pPr>
        <w:pStyle w:val="Heading3"/>
      </w:pPr>
      <w:r w:rsidRPr="006B7297">
        <w:t>Introduction</w:t>
      </w:r>
    </w:p>
    <w:p w:rsidR="00372911" w:rsidRDefault="00372911" w:rsidP="00372911">
      <w:r>
        <w:t xml:space="preserve">Web-based technology has experienced an increased presence in post-secondary education, making hypermedia and hypertext variables to be considered in the process of meaningful knowledge construction.  Because no significant main effects in the analysis of these variables was found in the past (Dillon &amp; </w:t>
      </w:r>
      <w:proofErr w:type="spellStart"/>
      <w:r>
        <w:t>Gabbard</w:t>
      </w:r>
      <w:proofErr w:type="spellEnd"/>
      <w:r>
        <w:t xml:space="preserve">, 1998, Chen &amp; </w:t>
      </w:r>
      <w:proofErr w:type="spellStart"/>
      <w:r>
        <w:t>Rada</w:t>
      </w:r>
      <w:proofErr w:type="spellEnd"/>
      <w:r>
        <w:t>, 1996), researchers have suggested the analysis of other variables such as learning style (</w:t>
      </w:r>
      <w:proofErr w:type="spellStart"/>
      <w:r>
        <w:t>Melara</w:t>
      </w:r>
      <w:proofErr w:type="spellEnd"/>
      <w:r>
        <w:t>, 1996).  The purpose of this study was to identify the impact of hypermedia-supported knowledge organizers on the construction of knowledge at the higher levels of Bloom’s Taxonomy and to determine whether learning styles has a moderating role.</w:t>
      </w:r>
    </w:p>
    <w:p w:rsidR="00372911" w:rsidRDefault="00372911" w:rsidP="00372911">
      <w:r w:rsidRPr="00FD0B91">
        <w:t xml:space="preserve">To promote higher-level thinking during schema construction, educators have </w:t>
      </w:r>
      <w:r>
        <w:t>used</w:t>
      </w:r>
      <w:r w:rsidRPr="00FD0B91">
        <w:t xml:space="preserve"> learning tools such as graphic organizers and concepts maps because they help students to visualize the concepts that are being learned as well as the interconnections that exist among them.  Research has shown that these tools increase comprehension of subject matter (Boyle &amp; </w:t>
      </w:r>
      <w:proofErr w:type="spellStart"/>
      <w:r w:rsidRPr="00FD0B91">
        <w:t>Weishaar</w:t>
      </w:r>
      <w:proofErr w:type="spellEnd"/>
      <w:r w:rsidRPr="00FD0B91">
        <w:t xml:space="preserve">, 1997; </w:t>
      </w:r>
      <w:proofErr w:type="spellStart"/>
      <w:r w:rsidRPr="00FD0B91">
        <w:t>Gardill</w:t>
      </w:r>
      <w:proofErr w:type="spellEnd"/>
      <w:r w:rsidRPr="00FD0B91">
        <w:t xml:space="preserve"> &amp; </w:t>
      </w:r>
      <w:proofErr w:type="spellStart"/>
      <w:r w:rsidRPr="00FD0B91">
        <w:t>Jitendra</w:t>
      </w:r>
      <w:proofErr w:type="spellEnd"/>
      <w:r w:rsidRPr="00FD0B91">
        <w:t xml:space="preserve">, 1999; </w:t>
      </w:r>
      <w:proofErr w:type="spellStart"/>
      <w:r w:rsidRPr="00FD0B91">
        <w:t>Ozmen</w:t>
      </w:r>
      <w:proofErr w:type="spellEnd"/>
      <w:r w:rsidRPr="00FD0B91">
        <w:t xml:space="preserve">, 2011; </w:t>
      </w:r>
      <w:proofErr w:type="spellStart"/>
      <w:r w:rsidRPr="00FD0B91">
        <w:t>Zollman</w:t>
      </w:r>
      <w:proofErr w:type="spellEnd"/>
      <w:r w:rsidRPr="00FD0B91">
        <w:t>, 2009</w:t>
      </w:r>
      <w:r>
        <w:t xml:space="preserve">). </w:t>
      </w:r>
      <w:r w:rsidRPr="00FD0B91">
        <w:t xml:space="preserve">However, because these two-dimensional representations are static, they are better at depicting declarative </w:t>
      </w:r>
      <w:r>
        <w:t xml:space="preserve">or conceptual </w:t>
      </w:r>
      <w:r w:rsidRPr="00FD0B91">
        <w:t>knowledge and provide limited opportunities for the expression of procedural knowledge, which is of crucial importance in problem solving and in schema construction at the higher levels of Bloom’s taxonomy.  Procedural knowledge entails an understanding of how theoretical concepts can be implemented in concrete situations and, therefore, contain verbal as well as imagery components that cannot always be depicted through the use of static learning tools.</w:t>
      </w:r>
    </w:p>
    <w:p w:rsidR="00372911" w:rsidRDefault="00372911" w:rsidP="00372911">
      <w:r w:rsidRPr="00FD0B91">
        <w:t xml:space="preserve">Hypermedia technology provides new ways of incorporating verbal and nonverbal representations of learning in a dynamic fashion.  Thanks to its hypertext capabilities, this </w:t>
      </w:r>
      <w:r>
        <w:t>computer-based learning environment</w:t>
      </w:r>
      <w:r w:rsidRPr="00FD0B91">
        <w:t xml:space="preserve"> </w:t>
      </w:r>
      <w:r>
        <w:t>equips</w:t>
      </w:r>
      <w:r w:rsidRPr="00FD0B91">
        <w:t xml:space="preserve"> students with an unlimited amount of space to freely depict connections between declarative and procedural components of knowledge.  Although hypermedia provides boundless possibilities for active learning, it has been primarily used to help students explore existing sources of information.  In this study, however, its potential to facilitate knowledge construction through the authoring of n-dimensional knowledge organizers was explored.</w:t>
      </w:r>
    </w:p>
    <w:p w:rsidR="00372911" w:rsidRDefault="00372911" w:rsidP="00372911">
      <w:pPr>
        <w:pStyle w:val="Heading3"/>
      </w:pPr>
      <w:r>
        <w:t xml:space="preserve">Schema Theory and the </w:t>
      </w:r>
      <w:r w:rsidRPr="00111C93">
        <w:t>E</w:t>
      </w:r>
      <w:r>
        <w:t>xternal Representations of Cognitive Structures</w:t>
      </w:r>
    </w:p>
    <w:p w:rsidR="00372911" w:rsidRDefault="00372911" w:rsidP="00372911">
      <w:r>
        <w:t>S</w:t>
      </w:r>
      <w:r w:rsidRPr="00FD0B91">
        <w:t xml:space="preserve">tudents have an active role in the </w:t>
      </w:r>
      <w:r>
        <w:t>construction of new meanings</w:t>
      </w:r>
      <w:r w:rsidRPr="00FD0B91">
        <w:t xml:space="preserve">, </w:t>
      </w:r>
      <w:r>
        <w:t>a process that</w:t>
      </w:r>
      <w:r w:rsidRPr="00FD0B91">
        <w:t xml:space="preserve"> uses schema</w:t>
      </w:r>
      <w:r>
        <w:t xml:space="preserve"> as building blocks </w:t>
      </w:r>
      <w:r w:rsidRPr="00FD0B91">
        <w:t>(</w:t>
      </w:r>
      <w:proofErr w:type="spellStart"/>
      <w:r w:rsidRPr="00FD0B91">
        <w:t>Bredo</w:t>
      </w:r>
      <w:proofErr w:type="spellEnd"/>
      <w:r w:rsidRPr="00FD0B91">
        <w:t>, 2000</w:t>
      </w:r>
      <w:r>
        <w:t xml:space="preserve">, </w:t>
      </w:r>
      <w:r w:rsidRPr="00FD0B91">
        <w:t>Derry, 1996).</w:t>
      </w:r>
      <w:r>
        <w:t xml:space="preserve"> S</w:t>
      </w:r>
      <w:r w:rsidRPr="00FD0B91">
        <w:t>chema theory</w:t>
      </w:r>
      <w:r>
        <w:t xml:space="preserve"> </w:t>
      </w:r>
      <w:r w:rsidRPr="00FD0B91">
        <w:t>assumes that prior knowledge is being rebuilt on the basis of new evidence</w:t>
      </w:r>
      <w:r>
        <w:t xml:space="preserve"> (</w:t>
      </w:r>
      <w:proofErr w:type="spellStart"/>
      <w:r>
        <w:t>DiSibio</w:t>
      </w:r>
      <w:proofErr w:type="spellEnd"/>
      <w:r>
        <w:t>,</w:t>
      </w:r>
      <w:r w:rsidR="00094ECA">
        <w:t xml:space="preserve"> </w:t>
      </w:r>
      <w:r w:rsidRPr="00FD0B91">
        <w:t>1982)</w:t>
      </w:r>
      <w:r>
        <w:t xml:space="preserve">, which is consistent with the Piagetian notion of accommodation, and </w:t>
      </w:r>
      <w:r w:rsidRPr="00FD0B91">
        <w:t xml:space="preserve">has </w:t>
      </w:r>
      <w:r>
        <w:t xml:space="preserve">played an important role in </w:t>
      </w:r>
      <w:r w:rsidRPr="00FD0B91">
        <w:t>set</w:t>
      </w:r>
      <w:r>
        <w:t>ting</w:t>
      </w:r>
      <w:r w:rsidRPr="00FD0B91">
        <w:t xml:space="preserve"> the groundwork for adva</w:t>
      </w:r>
      <w:r>
        <w:t>nce organizers (Ausubel</w:t>
      </w:r>
      <w:proofErr w:type="gramStart"/>
      <w:r>
        <w:t>,1963</w:t>
      </w:r>
      <w:proofErr w:type="gramEnd"/>
      <w:r>
        <w:t xml:space="preserve">). Because schemata include not only </w:t>
      </w:r>
      <w:r w:rsidRPr="00FD0B91">
        <w:t xml:space="preserve">conceptual content, </w:t>
      </w:r>
      <w:r>
        <w:t>but</w:t>
      </w:r>
      <w:r w:rsidRPr="00FD0B91">
        <w:t xml:space="preserve"> also procedural information that </w:t>
      </w:r>
      <w:r>
        <w:t>specifies</w:t>
      </w:r>
      <w:r w:rsidRPr="00FD0B91">
        <w:t xml:space="preserve"> how knowledge is to be used (</w:t>
      </w:r>
      <w:proofErr w:type="spellStart"/>
      <w:r w:rsidRPr="00FD0B91">
        <w:t>Rumelhart</w:t>
      </w:r>
      <w:proofErr w:type="spellEnd"/>
      <w:r w:rsidRPr="00FD0B91">
        <w:t>, 1980)</w:t>
      </w:r>
      <w:r>
        <w:t>, instructional approaches that promote the meaningful construction of knowledge must focus on both</w:t>
      </w:r>
      <w:r w:rsidRPr="00FD0B91">
        <w:t xml:space="preserve">. </w:t>
      </w:r>
      <w:r>
        <w:t>Schema t</w:t>
      </w:r>
      <w:r w:rsidRPr="00FD0B91">
        <w:t>heory</w:t>
      </w:r>
      <w:r>
        <w:t xml:space="preserve"> shares with</w:t>
      </w:r>
      <w:r w:rsidRPr="00FD0B91">
        <w:t xml:space="preserve"> t</w:t>
      </w:r>
      <w:r>
        <w:t>he Dual Coding Theory</w:t>
      </w:r>
      <w:r w:rsidRPr="00FD0B91">
        <w:t xml:space="preserve"> </w:t>
      </w:r>
      <w:r>
        <w:t>the belief that</w:t>
      </w:r>
      <w:r w:rsidRPr="00FD0B91">
        <w:t xml:space="preserve"> knowledge </w:t>
      </w:r>
      <w:r>
        <w:t>is</w:t>
      </w:r>
      <w:r w:rsidRPr="00FD0B91">
        <w:t xml:space="preserve"> a composition of propositional and picture-like elements (Simon &amp; Kaplan, 1989).  </w:t>
      </w:r>
      <w:r w:rsidRPr="009533CB">
        <w:t xml:space="preserve">In a meta-analytic study, </w:t>
      </w:r>
      <w:proofErr w:type="spellStart"/>
      <w:r w:rsidRPr="009533CB">
        <w:t>Vekiri</w:t>
      </w:r>
      <w:proofErr w:type="spellEnd"/>
      <w:r w:rsidRPr="009533CB">
        <w:t xml:space="preserve"> (2002) found that the combination of visual and verbal information improved problem-solving performance. </w:t>
      </w:r>
    </w:p>
    <w:p w:rsidR="00372911" w:rsidRDefault="00372911" w:rsidP="00372911">
      <w:r>
        <w:t xml:space="preserve"> “</w:t>
      </w:r>
      <w:r w:rsidRPr="00FD0B91">
        <w:t>Graphic organizers</w:t>
      </w:r>
      <w:r>
        <w:t>”</w:t>
      </w:r>
      <w:r w:rsidRPr="00FD0B91">
        <w:t xml:space="preserve"> is one of the names given to the “visual displays teachers use to organize information in a manner that makes the information easier to understand and learn” (</w:t>
      </w:r>
      <w:proofErr w:type="spellStart"/>
      <w:r w:rsidRPr="00FD0B91">
        <w:t>Meyen</w:t>
      </w:r>
      <w:proofErr w:type="spellEnd"/>
      <w:r w:rsidRPr="00FD0B91">
        <w:t xml:space="preserve">, </w:t>
      </w:r>
      <w:proofErr w:type="spellStart"/>
      <w:r w:rsidRPr="00FD0B91">
        <w:t>Vergason</w:t>
      </w:r>
      <w:proofErr w:type="spellEnd"/>
      <w:r w:rsidRPr="00FD0B91">
        <w:t xml:space="preserve">, &amp; Whelan, 1996, p. 132). With roots in schema theory, they provide representations of mental structures that facilitate the organization of knowledge (Cooper-Shaw, 1991).  Based on their specific characteristics, knowledge maps have been referred to as concept maps, mind maps, cluster maps, concept circle diagrams, semantic networks, graphic organizers, or conceptual graphs, among others (Fisher, 2000a).  One of the pioneers in this field is David </w:t>
      </w:r>
      <w:proofErr w:type="spellStart"/>
      <w:r w:rsidRPr="00FD0B91">
        <w:t>Ausubel</w:t>
      </w:r>
      <w:proofErr w:type="spellEnd"/>
      <w:r w:rsidRPr="00FD0B91">
        <w:t xml:space="preserve">, whose Meaningful Learning Theory stresses that learning of new information is linked to existing knowledge and that the concreteness of mental models could be increased through the use of a graphic tool that he called “advance organizers” (1960, </w:t>
      </w:r>
      <w:r>
        <w:t xml:space="preserve">1963, </w:t>
      </w:r>
      <w:proofErr w:type="gramStart"/>
      <w:r w:rsidRPr="00FD0B91">
        <w:t>1968</w:t>
      </w:r>
      <w:proofErr w:type="gramEnd"/>
      <w:r w:rsidRPr="00FD0B91">
        <w:t xml:space="preserve">). He pointed out that learning and memory can be enhanced when associations among cognitive structures are expressed using a visual format. His hypothesis was that cognitive structures are organized hierarchically with inclusive conceptual resources at the top and subsuming, more specific information, at the bottom. The purpose of an advance organizer is to provide a system that can organize the new information in a unified structure that provides logical links between new and existing content (Mayer, 1980, 2010).  </w:t>
      </w:r>
    </w:p>
    <w:p w:rsidR="00372911" w:rsidRDefault="00372911" w:rsidP="00372911">
      <w:r w:rsidRPr="00FD0B91">
        <w:t xml:space="preserve">Based on various theoretical approaches, including </w:t>
      </w:r>
      <w:r>
        <w:t>the Dual Coding Theory</w:t>
      </w:r>
      <w:r w:rsidRPr="00FD0B91">
        <w:t xml:space="preserve">, Schema Theory, </w:t>
      </w:r>
      <w:r>
        <w:t xml:space="preserve">the </w:t>
      </w:r>
      <w:r w:rsidRPr="00FD0B91">
        <w:t xml:space="preserve">Cognitive Load Theory, and </w:t>
      </w:r>
      <w:proofErr w:type="spellStart"/>
      <w:r w:rsidRPr="00FD0B91">
        <w:t>Ausubel’s</w:t>
      </w:r>
      <w:proofErr w:type="spellEnd"/>
      <w:r w:rsidRPr="00FD0B91">
        <w:t xml:space="preserve"> Meaningful Learning Theory, concept maps were created in the 1960s at Cornell University to help students develop visual representations of knowledge structures</w:t>
      </w:r>
      <w:r>
        <w:t xml:space="preserve"> (Novak, 1980, 1990 a, 1990b</w:t>
      </w:r>
      <w:r w:rsidRPr="00FD0B91">
        <w:t xml:space="preserve">, 1996; Novak &amp; </w:t>
      </w:r>
      <w:proofErr w:type="spellStart"/>
      <w:r w:rsidRPr="00FD0B91">
        <w:t>Gowin</w:t>
      </w:r>
      <w:proofErr w:type="spellEnd"/>
      <w:r w:rsidRPr="00FD0B91">
        <w:t xml:space="preserve">, 1995). These tools graphically represent meaningful interconnections among schema expressed in the form of hierarchical semantic networks.  Rather than promoting passive memorization, concept maps encourage the active and creative identification of interconnections among concepts and the association between new and previous knowledge. Visually, concepts are normally enclosed in circles or boxes, and the relationships between concepts are indicated through the use of connecting lines. General, comprehensive, abstract concepts appear at the higher levels of the hierarchy and specific concepts, examples, objects and events can be found at the lower levels. Because they intertwine images and semantic content, as the </w:t>
      </w:r>
      <w:r>
        <w:t>Dual Coding Theory</w:t>
      </w:r>
      <w:r w:rsidRPr="00FD0B91">
        <w:t xml:space="preserve"> suggests</w:t>
      </w:r>
      <w:proofErr w:type="gramStart"/>
      <w:r w:rsidRPr="00FD0B91">
        <w:t>,</w:t>
      </w:r>
      <w:proofErr w:type="gramEnd"/>
      <w:r w:rsidRPr="00FD0B91">
        <w:t xml:space="preserve"> concept maps represent an effective learning and planning tool (</w:t>
      </w:r>
      <w:proofErr w:type="spellStart"/>
      <w:r w:rsidRPr="00FD0B91">
        <w:t>Cicognami</w:t>
      </w:r>
      <w:proofErr w:type="spellEnd"/>
      <w:r w:rsidRPr="00FD0B91">
        <w:t>, 2000). In this regard, they are similar to mind mapping, a technique for taking notes that resembles a tree seen from the top, which activates the two halves of the brain—the left side performs logic functions and the right side creates artistic spatial images (</w:t>
      </w:r>
      <w:proofErr w:type="spellStart"/>
      <w:r w:rsidRPr="00FD0B91">
        <w:t>Buzan</w:t>
      </w:r>
      <w:proofErr w:type="spellEnd"/>
      <w:r w:rsidRPr="00FD0B91">
        <w:t>, 1976</w:t>
      </w:r>
      <w:r>
        <w:t>, 1993</w:t>
      </w:r>
      <w:r w:rsidRPr="00FD0B91">
        <w:t>;</w:t>
      </w:r>
      <w:r>
        <w:t xml:space="preserve"> </w:t>
      </w:r>
      <w:proofErr w:type="spellStart"/>
      <w:r w:rsidRPr="00FD0B91">
        <w:t>Svantesson</w:t>
      </w:r>
      <w:proofErr w:type="spellEnd"/>
      <w:r w:rsidRPr="00FD0B91">
        <w:t xml:space="preserve">, 1992). They also resemble the spatial method used by </w:t>
      </w:r>
      <w:proofErr w:type="spellStart"/>
      <w:r w:rsidRPr="00FD0B91">
        <w:t>Naveh-Benamin</w:t>
      </w:r>
      <w:proofErr w:type="spellEnd"/>
      <w:r>
        <w:t>,</w:t>
      </w:r>
      <w:r w:rsidRPr="00FD0B91">
        <w:t xml:space="preserve"> </w:t>
      </w:r>
      <w:proofErr w:type="spellStart"/>
      <w:r w:rsidRPr="00B97148">
        <w:t>McKeachie</w:t>
      </w:r>
      <w:proofErr w:type="spellEnd"/>
      <w:r w:rsidRPr="00B97148">
        <w:t>, Lin</w:t>
      </w:r>
      <w:r>
        <w:t xml:space="preserve"> &amp;</w:t>
      </w:r>
      <w:r w:rsidRPr="00B97148">
        <w:t xml:space="preserve"> Tucker</w:t>
      </w:r>
      <w:r>
        <w:t xml:space="preserve">, </w:t>
      </w:r>
      <w:r w:rsidRPr="00FD0B91">
        <w:t xml:space="preserve">1986) to represent the relations among verbal and imagery that had the shape of tree diagrams in which higher-level words are at the top, specific terms at the lowest level, and lines connecting words represent class-inclusion relations between subordinate and superordinate elements. </w:t>
      </w:r>
    </w:p>
    <w:p w:rsidR="00372911" w:rsidRDefault="00372911" w:rsidP="00372911">
      <w:r w:rsidRPr="00FD0B91">
        <w:t xml:space="preserve">In addition to emphasizing the </w:t>
      </w:r>
      <w:r>
        <w:t>usefulness</w:t>
      </w:r>
      <w:r w:rsidRPr="00FD0B91">
        <w:t xml:space="preserve"> of pictorial elements, research has shown that experts are better at retrieving information </w:t>
      </w:r>
      <w:r>
        <w:t xml:space="preserve">because they </w:t>
      </w:r>
      <w:r w:rsidRPr="00FD0B91">
        <w:t>display a hierarchical organization that</w:t>
      </w:r>
      <w:r>
        <w:t xml:space="preserve"> includes procedural knowledge </w:t>
      </w:r>
      <w:r w:rsidRPr="00FD0B91">
        <w:t>(</w:t>
      </w:r>
      <w:proofErr w:type="spellStart"/>
      <w:r w:rsidRPr="00FD0B91">
        <w:t>Eylon</w:t>
      </w:r>
      <w:proofErr w:type="spellEnd"/>
      <w:r w:rsidRPr="00FD0B91">
        <w:t xml:space="preserve"> &amp; </w:t>
      </w:r>
      <w:proofErr w:type="spellStart"/>
      <w:r w:rsidRPr="00FD0B91">
        <w:t>Reif</w:t>
      </w:r>
      <w:proofErr w:type="spellEnd"/>
      <w:r w:rsidRPr="00FD0B91">
        <w:t xml:space="preserve">, 1984; </w:t>
      </w:r>
      <w:proofErr w:type="spellStart"/>
      <w:r w:rsidRPr="00FD0B91">
        <w:t>Reif</w:t>
      </w:r>
      <w:proofErr w:type="spellEnd"/>
      <w:r w:rsidRPr="00FD0B91">
        <w:t xml:space="preserve"> &amp; Heller, 1982). </w:t>
      </w:r>
      <w:r>
        <w:t xml:space="preserve">There is evidence </w:t>
      </w:r>
      <w:r w:rsidRPr="00FD0B91">
        <w:t>that novices can be trained to develop these hierarchical structures and, thus, search for information more efficiently and become better problem solvers</w:t>
      </w:r>
      <w:r>
        <w:t xml:space="preserve"> (</w:t>
      </w:r>
      <w:proofErr w:type="spellStart"/>
      <w:r>
        <w:t>Bagno</w:t>
      </w:r>
      <w:proofErr w:type="spellEnd"/>
      <w:r>
        <w:t xml:space="preserve"> and </w:t>
      </w:r>
      <w:proofErr w:type="spellStart"/>
      <w:r>
        <w:t>Eylon</w:t>
      </w:r>
      <w:proofErr w:type="spellEnd"/>
      <w:r>
        <w:t>, 1997;</w:t>
      </w:r>
      <w:r w:rsidRPr="00FD0B91">
        <w:t xml:space="preserve"> </w:t>
      </w:r>
      <w:proofErr w:type="spellStart"/>
      <w:r>
        <w:t>Eylon</w:t>
      </w:r>
      <w:proofErr w:type="spellEnd"/>
      <w:r>
        <w:t xml:space="preserve"> and </w:t>
      </w:r>
      <w:proofErr w:type="spellStart"/>
      <w:r>
        <w:t>Reif</w:t>
      </w:r>
      <w:proofErr w:type="spellEnd"/>
      <w:r>
        <w:t xml:space="preserve">, 1984; </w:t>
      </w:r>
      <w:proofErr w:type="spellStart"/>
      <w:r>
        <w:t>Mualem</w:t>
      </w:r>
      <w:proofErr w:type="spellEnd"/>
      <w:r>
        <w:t xml:space="preserve"> and </w:t>
      </w:r>
      <w:proofErr w:type="spellStart"/>
      <w:r>
        <w:t>Eylon</w:t>
      </w:r>
      <w:proofErr w:type="spellEnd"/>
      <w:r>
        <w:t xml:space="preserve">, </w:t>
      </w:r>
      <w:r w:rsidRPr="00FD0B91">
        <w:t>2010). Traditional knowledge maps are useful in helping students represent conceptual knowledge, that is, facts, concepts and objects (</w:t>
      </w:r>
      <w:proofErr w:type="spellStart"/>
      <w:r w:rsidRPr="00FD0B91">
        <w:t>Stoyanov</w:t>
      </w:r>
      <w:proofErr w:type="spellEnd"/>
      <w:r w:rsidRPr="00FD0B91">
        <w:t xml:space="preserve"> &amp; </w:t>
      </w:r>
      <w:proofErr w:type="spellStart"/>
      <w:r w:rsidRPr="00FD0B91">
        <w:t>Kommers</w:t>
      </w:r>
      <w:proofErr w:type="spellEnd"/>
      <w:r w:rsidRPr="00FD0B91">
        <w:t xml:space="preserve">, 1999). </w:t>
      </w:r>
      <w:r w:rsidR="00094ECA">
        <w:t xml:space="preserve"> </w:t>
      </w:r>
      <w:r w:rsidRPr="00FD0B91">
        <w:t>However, they provide few opportunities to incorporate either procedural knowledge or contextual information regarding the problem at hand, both of which are important components of the problem-solving process (</w:t>
      </w:r>
      <w:proofErr w:type="spellStart"/>
      <w:r w:rsidRPr="00FD0B91">
        <w:t>Hegarty</w:t>
      </w:r>
      <w:proofErr w:type="spellEnd"/>
      <w:r w:rsidRPr="00FD0B91">
        <w:t xml:space="preserve">, 1991; </w:t>
      </w:r>
      <w:proofErr w:type="spellStart"/>
      <w:r w:rsidRPr="00FD0B91">
        <w:t>Jonassen</w:t>
      </w:r>
      <w:proofErr w:type="spellEnd"/>
      <w:r w:rsidRPr="00FD0B91">
        <w:t>, 2001</w:t>
      </w:r>
      <w:r>
        <w:t>, 2011</w:t>
      </w:r>
      <w:r w:rsidRPr="00FD0B91">
        <w:t xml:space="preserve">; Norman &amp; Schmidt, 1999; </w:t>
      </w:r>
      <w:proofErr w:type="spellStart"/>
      <w:r w:rsidRPr="00FD0B91">
        <w:t>Stieff</w:t>
      </w:r>
      <w:proofErr w:type="spellEnd"/>
      <w:proofErr w:type="gramStart"/>
      <w:r w:rsidRPr="00FD0B91">
        <w:t xml:space="preserve">,  </w:t>
      </w:r>
      <w:proofErr w:type="spellStart"/>
      <w:r w:rsidRPr="00FD0B91">
        <w:t>Hegarty</w:t>
      </w:r>
      <w:proofErr w:type="spellEnd"/>
      <w:proofErr w:type="gramEnd"/>
      <w:r w:rsidRPr="00FD0B91">
        <w:t xml:space="preserve">, &amp; </w:t>
      </w:r>
      <w:proofErr w:type="spellStart"/>
      <w:r w:rsidRPr="00FD0B91">
        <w:t>Deslongchamps</w:t>
      </w:r>
      <w:proofErr w:type="spellEnd"/>
      <w:r w:rsidRPr="00FD0B91">
        <w:t xml:space="preserve">, 2011).  Usually, the relationships between concepts that are indicated in these knowledge maps do not provide in-depth information regarding how knowledge can be used to solve problems in specific contexts. Marshall (1995) found that schema graphs can facilitate the connection between declarative facts and procedural rules, both of which she calls nodes, by placing weights on the links that connect the nodes, allowing for easier or stronger connections when the links have higher weights.  Thanks to the organization that these weightings allow, not everything that is associated with a situation is activated at the same time.  However, the amount of information that can be included in these graphs is limited.  </w:t>
      </w:r>
    </w:p>
    <w:p w:rsidR="00372911" w:rsidRDefault="00372911" w:rsidP="00372911">
      <w:r w:rsidRPr="00FD0B91">
        <w:t>In the area of higher-level thinking, evidence suggests that external, symbolic representations of knowledge structures reduce the complexity and cognitive load involved in problem solving (</w:t>
      </w:r>
      <w:proofErr w:type="spellStart"/>
      <w:r w:rsidRPr="00FD0B91">
        <w:t>Jonassen</w:t>
      </w:r>
      <w:proofErr w:type="spellEnd"/>
      <w:r w:rsidRPr="00FD0B91">
        <w:t xml:space="preserve">, </w:t>
      </w:r>
      <w:proofErr w:type="spellStart"/>
      <w:r w:rsidRPr="00FD0B91">
        <w:t>Beissner</w:t>
      </w:r>
      <w:proofErr w:type="spellEnd"/>
      <w:r w:rsidRPr="00FD0B91">
        <w:t xml:space="preserve">, &amp; </w:t>
      </w:r>
      <w:proofErr w:type="spellStart"/>
      <w:r w:rsidRPr="00FD0B91">
        <w:t>Yacci</w:t>
      </w:r>
      <w:proofErr w:type="spellEnd"/>
      <w:r w:rsidRPr="00FD0B91">
        <w:t xml:space="preserve">, 1993; </w:t>
      </w:r>
      <w:proofErr w:type="spellStart"/>
      <w:r w:rsidRPr="00FD0B91">
        <w:t>Scaife</w:t>
      </w:r>
      <w:proofErr w:type="spellEnd"/>
      <w:r w:rsidRPr="00FD0B91">
        <w:t xml:space="preserve"> &amp; Rogers, 1996; </w:t>
      </w:r>
      <w:proofErr w:type="spellStart"/>
      <w:r w:rsidRPr="00FD0B91">
        <w:t>Vekiri</w:t>
      </w:r>
      <w:proofErr w:type="spellEnd"/>
      <w:r w:rsidRPr="00FD0B91">
        <w:t xml:space="preserve">, 2002) and various researchers (e.g., Novak &amp; </w:t>
      </w:r>
      <w:proofErr w:type="spellStart"/>
      <w:r w:rsidRPr="00FD0B91">
        <w:t>Musonda</w:t>
      </w:r>
      <w:proofErr w:type="spellEnd"/>
      <w:r w:rsidRPr="00FD0B91">
        <w:t xml:space="preserve">, 1991; </w:t>
      </w:r>
      <w:proofErr w:type="spellStart"/>
      <w:r w:rsidRPr="00FD0B91">
        <w:t>Osamasta</w:t>
      </w:r>
      <w:proofErr w:type="spellEnd"/>
      <w:r w:rsidRPr="00FD0B91">
        <w:t xml:space="preserve"> &amp; </w:t>
      </w:r>
      <w:proofErr w:type="spellStart"/>
      <w:r w:rsidRPr="00FD0B91">
        <w:t>Lunetta</w:t>
      </w:r>
      <w:proofErr w:type="spellEnd"/>
      <w:r w:rsidRPr="00FD0B91">
        <w:t xml:space="preserve">, 1988) have found that knowledge maps do in fact improve the problem-solving process. Lee, Baylor, &amp; Nelson (2005) contend that for knowledge maps to enhance problem-solving performance, they must (1) combine conceptual and the corresponding procedural knowledge representations, (2) provide contextual information about the problem, (3) provide a flexible space where the learner can represent concepts, (4) indicate the magnitude of association between concept and associated processes, and (5) allow for concepts to be represented through multiple modalities.  Computer software, such as Mindjet, IHCM </w:t>
      </w:r>
      <w:proofErr w:type="spellStart"/>
      <w:r w:rsidRPr="00FD0B91">
        <w:t>Cmap</w:t>
      </w:r>
      <w:proofErr w:type="spellEnd"/>
      <w:r w:rsidRPr="00FD0B91">
        <w:t xml:space="preserve"> tools, Inspiration™, Mind Manager, Decision Explorer, SMART Ideas®, </w:t>
      </w:r>
      <w:proofErr w:type="spellStart"/>
      <w:r w:rsidRPr="00FD0B91">
        <w:t>SemNet</w:t>
      </w:r>
      <w:proofErr w:type="spellEnd"/>
      <w:r w:rsidRPr="00FD0B91">
        <w:t xml:space="preserve">, and VUE, have been developed to create digital knowledge maps that allow for the incorporation of animation, audio, graphics and text across numerous hierarchical levels.  Given their digital nature, they provide a considerably larger working space and facilitate the sharing of cognitive maps (e.g., through e-mail).  </w:t>
      </w:r>
      <w:r>
        <w:t xml:space="preserve">By incorporating </w:t>
      </w:r>
      <w:r w:rsidRPr="00FD0B91">
        <w:t xml:space="preserve">more than two dimensions into a </w:t>
      </w:r>
      <w:r>
        <w:t>mind map, the problem-solving performance</w:t>
      </w:r>
      <w:r w:rsidRPr="00FD0B91">
        <w:t xml:space="preserve"> </w:t>
      </w:r>
      <w:r>
        <w:t>is improved because it allows for</w:t>
      </w:r>
      <w:r w:rsidRPr="00FD0B91">
        <w:t xml:space="preserve"> multiple representations of knowledge (Bauer &amp; Johnson-Liard, 1993; </w:t>
      </w:r>
      <w:proofErr w:type="spellStart"/>
      <w:r w:rsidRPr="00FD0B91">
        <w:t>Boshuzien</w:t>
      </w:r>
      <w:proofErr w:type="spellEnd"/>
      <w:r w:rsidRPr="00FD0B91">
        <w:t xml:space="preserve"> &amp; </w:t>
      </w:r>
      <w:proofErr w:type="spellStart"/>
      <w:r w:rsidRPr="00FD0B91">
        <w:t>Schijf</w:t>
      </w:r>
      <w:proofErr w:type="spellEnd"/>
      <w:r w:rsidRPr="00FD0B91">
        <w:t xml:space="preserve">, 1998; </w:t>
      </w:r>
      <w:proofErr w:type="spellStart"/>
      <w:r w:rsidRPr="00FD0B91">
        <w:t>DeJong</w:t>
      </w:r>
      <w:proofErr w:type="spellEnd"/>
      <w:r w:rsidRPr="00FD0B91">
        <w:t xml:space="preserve"> et al., 1998; </w:t>
      </w:r>
      <w:proofErr w:type="spellStart"/>
      <w:r w:rsidRPr="00FD0B91">
        <w:t>Jonassen</w:t>
      </w:r>
      <w:proofErr w:type="spellEnd"/>
      <w:r w:rsidRPr="00FD0B91">
        <w:t xml:space="preserve">, </w:t>
      </w:r>
      <w:proofErr w:type="spellStart"/>
      <w:r w:rsidRPr="00FD0B91">
        <w:t>Beissner</w:t>
      </w:r>
      <w:proofErr w:type="spellEnd"/>
      <w:r w:rsidRPr="00FD0B91">
        <w:t xml:space="preserve"> &amp; </w:t>
      </w:r>
      <w:proofErr w:type="spellStart"/>
      <w:r w:rsidRPr="00FD0B91">
        <w:t>Yacci</w:t>
      </w:r>
      <w:proofErr w:type="spellEnd"/>
      <w:r w:rsidRPr="00FD0B91">
        <w:t xml:space="preserve">, 1993; </w:t>
      </w:r>
      <w:proofErr w:type="spellStart"/>
      <w:r w:rsidRPr="00FD0B91">
        <w:t>Naijar</w:t>
      </w:r>
      <w:proofErr w:type="spellEnd"/>
      <w:r w:rsidRPr="00FD0B91">
        <w:t xml:space="preserve">, 1998; </w:t>
      </w:r>
      <w:proofErr w:type="spellStart"/>
      <w:r w:rsidRPr="00FD0B91">
        <w:t>Paivio</w:t>
      </w:r>
      <w:proofErr w:type="spellEnd"/>
      <w:r w:rsidRPr="00FD0B91">
        <w:t>, 1990</w:t>
      </w:r>
      <w:r>
        <w:t>, 2006</w:t>
      </w:r>
      <w:r w:rsidRPr="00FD0B91">
        <w:t xml:space="preserve">; </w:t>
      </w:r>
      <w:proofErr w:type="spellStart"/>
      <w:r w:rsidRPr="00FD0B91">
        <w:t>Tergan</w:t>
      </w:r>
      <w:proofErr w:type="spellEnd"/>
      <w:r w:rsidRPr="00FD0B91">
        <w:t>, 1997; Zhang, 1997).  In the area of mathematics education, Santos-</w:t>
      </w:r>
      <w:proofErr w:type="spellStart"/>
      <w:r w:rsidRPr="00FD0B91">
        <w:t>Trigo</w:t>
      </w:r>
      <w:proofErr w:type="spellEnd"/>
      <w:r w:rsidRPr="00FD0B91">
        <w:t>, Espinosa-Pérez, and Reyes-</w:t>
      </w:r>
      <w:proofErr w:type="spellStart"/>
      <w:r w:rsidRPr="00FD0B91">
        <w:t>Rodríquez</w:t>
      </w:r>
      <w:proofErr w:type="spellEnd"/>
      <w:r w:rsidRPr="00FD0B91">
        <w:t xml:space="preserve"> (2007, 2008) used dynamic software to help students identify and reconstruct mathematical relations by assembling and examining dynamic configurations of mathematical problems.  They found that this type of software helps students explore relations among objects that are difficult to grasp using a paper and pencil approach.</w:t>
      </w:r>
    </w:p>
    <w:p w:rsidR="00372911" w:rsidRDefault="00372911" w:rsidP="00372911">
      <w:pPr>
        <w:pStyle w:val="Heading3"/>
      </w:pPr>
      <w:r w:rsidRPr="00365584">
        <w:t>N-D</w:t>
      </w:r>
      <w:r>
        <w:t>imensional Knowledge Organizers and Learning Styles</w:t>
      </w:r>
    </w:p>
    <w:p w:rsidR="00372911" w:rsidRDefault="00372911" w:rsidP="00372911">
      <w:r w:rsidRPr="00FD0B91">
        <w:t xml:space="preserve">To construct knowledge, students need opportunities that promote reflective experimentation with the physical world and interactive negotiation of conceptual conflicts. Hypermedia is a technological tool that is supported by both schema theory and </w:t>
      </w:r>
      <w:r>
        <w:t>Dual Coding Theory</w:t>
      </w:r>
      <w:r w:rsidRPr="00FD0B91">
        <w:t xml:space="preserve"> (Wang, 2003), and is aligned with constructivist practices because it allows students to control their learning processes as they interact creatively with knowledge (Duffy, 1990; </w:t>
      </w:r>
      <w:proofErr w:type="spellStart"/>
      <w:r w:rsidRPr="00FD0B91">
        <w:t>Jonassen</w:t>
      </w:r>
      <w:proofErr w:type="spellEnd"/>
      <w:r w:rsidRPr="00FD0B91">
        <w:t xml:space="preserve"> &amp; Carr, 2000; Palumbo &amp; Bermudez, 1994).</w:t>
      </w:r>
    </w:p>
    <w:p w:rsidR="00372911" w:rsidRPr="00FD0B91" w:rsidRDefault="00372911" w:rsidP="00372911">
      <w:r w:rsidRPr="00FD0B91">
        <w:t>Hypermedia is defined as any collection of textual, graphical, visual or auditory information (Tillman, 1997)</w:t>
      </w:r>
      <w:r>
        <w:t>.</w:t>
      </w:r>
      <w:r w:rsidRPr="00FD0B91">
        <w:t xml:space="preserve"> </w:t>
      </w:r>
      <w:r>
        <w:t>Research indicates</w:t>
      </w:r>
      <w:r w:rsidRPr="00FD0B91">
        <w:t xml:space="preserve"> that hypertext facilitates remembering, concept formation and understanding because the human brain works in the same associative way</w:t>
      </w:r>
      <w:r>
        <w:t xml:space="preserve"> </w:t>
      </w:r>
      <w:r w:rsidRPr="00FD0B91">
        <w:t>(</w:t>
      </w:r>
      <w:proofErr w:type="spellStart"/>
      <w:r w:rsidRPr="00FD0B91">
        <w:t>Kearsley</w:t>
      </w:r>
      <w:proofErr w:type="spellEnd"/>
      <w:r w:rsidRPr="00FD0B91">
        <w:t xml:space="preserve">, 1988; </w:t>
      </w:r>
      <w:proofErr w:type="spellStart"/>
      <w:r w:rsidRPr="00FD0B91">
        <w:t>Khalifa</w:t>
      </w:r>
      <w:proofErr w:type="spellEnd"/>
      <w:r w:rsidRPr="00FD0B91">
        <w:t xml:space="preserve">, 1993, 1998; </w:t>
      </w:r>
      <w:proofErr w:type="spellStart"/>
      <w:r w:rsidRPr="00FD0B91">
        <w:t>Siviter</w:t>
      </w:r>
      <w:proofErr w:type="spellEnd"/>
      <w:r w:rsidRPr="00FD0B91">
        <w:t>, 1992; Yun, 2011).  Given that the linking capabilities of hypertext assist in freeing up short-term and working memory, they prevent a memory overload and thus facilitate the passing of information to long-term memory (</w:t>
      </w:r>
      <w:proofErr w:type="spellStart"/>
      <w:r w:rsidRPr="00FD0B91">
        <w:t>Sweller</w:t>
      </w:r>
      <w:proofErr w:type="spellEnd"/>
      <w:r w:rsidRPr="00FD0B91">
        <w:t xml:space="preserve">, 1988). </w:t>
      </w:r>
    </w:p>
    <w:p w:rsidR="00372911" w:rsidRDefault="00372911" w:rsidP="00372911">
      <w:r w:rsidRPr="00FD0B91">
        <w:t>While traditional computer-based instruction emphasizes convergent thinking, hypermedia encourages discovery and divergent learning (Gall &amp; Hannifin, 1994; Heller, 1990</w:t>
      </w:r>
      <w:r>
        <w:t>;</w:t>
      </w:r>
      <w:r w:rsidRPr="00FD0B91">
        <w:t xml:space="preserve"> </w:t>
      </w:r>
      <w:proofErr w:type="spellStart"/>
      <w:r w:rsidRPr="00FD0B91">
        <w:t>McEachern</w:t>
      </w:r>
      <w:proofErr w:type="spellEnd"/>
      <w:r w:rsidRPr="00FD0B91">
        <w:t xml:space="preserve">, 1998).  </w:t>
      </w:r>
      <w:proofErr w:type="spellStart"/>
      <w:r w:rsidRPr="00FD0B91">
        <w:t>Marchionini</w:t>
      </w:r>
      <w:proofErr w:type="spellEnd"/>
      <w:r w:rsidRPr="00FD0B91">
        <w:t xml:space="preserve"> (1988, 2008) contends that hypertext and hypermedia foster the use of higher-order thinking skills because learners have to constantly make decisions and assess their progress. Nonetheless, Joyce (1988) distinguishes between the exploratory and the constructive uses of hypertext.  Students take on the role of readers and passive consumers of information when they explore and browse through the system. On the other hand, when they invent and transform the body of information based on their needs and interests, they become authors of their own learning. Nelson and Palumbo (1992) discuss three types of hypermedia uses in educational settings: knowledge presentation, knowledge representation, and knowledge construction.  Knowledge presentation systems allow students to simply follow already established links as they search for information in electronic libraries.  Through the use of maps or graphic browsers, knowledge representation systems help students to identify relationships between information nodes. Knowledge construction systems foster the construction of personalized knowledge through learner authoring and linking of information. According to Palumbo and Bermudez (1994) and Nelson, </w:t>
      </w:r>
      <w:proofErr w:type="spellStart"/>
      <w:r w:rsidRPr="00FD0B91">
        <w:t>Wellings</w:t>
      </w:r>
      <w:proofErr w:type="spellEnd"/>
      <w:r w:rsidRPr="00FD0B91">
        <w:t xml:space="preserve">, Palumbo and </w:t>
      </w:r>
      <w:proofErr w:type="spellStart"/>
      <w:r w:rsidRPr="00FD0B91">
        <w:t>Gupton</w:t>
      </w:r>
      <w:proofErr w:type="spellEnd"/>
      <w:r w:rsidRPr="00FD0B91">
        <w:t xml:space="preserve"> (2001), a more constructivist environment that allows students to add nodes and links is necessary for efficient learning to occur.  </w:t>
      </w:r>
    </w:p>
    <w:p w:rsidR="00372911" w:rsidRDefault="00372911" w:rsidP="00372911">
      <w:r w:rsidRPr="00FD0B91">
        <w:t xml:space="preserve">Chen and Dwyer (2003) indicate that research has been done on the usefulness of hypermedia in building declarative knowledge, but that little is known about its effects on procedural knowledge and on higher-order thinking skills.  In addition, the chosen way of acquiring procedural knowledge may also be dependent upon the students’ learning styles (Williams, 2000), which are the preferred processing system for learning that a person has. Although there are many learning style models, one of the most researched was created by Albert Canfield (1992).  His inventory identifies preferences for conditions, content, mode, and expectancy. Conditions denote preference for working with peers or alone, and preference for organization, attention to detail, knowing the instructor and authority. Content refers to orientation toward numeric, qualitative, inanimate objects, or people. Mode makes reference to the preferred way of receiving information, which includes: listening, reading, iconic and direct experience. Expectancy is the individual’s expectation of success at a learning task or a job. Because n-dimensional knowledge organizers promote changes in the “mode” that students use to express the knowledge that they are constructing, this study </w:t>
      </w:r>
      <w:r>
        <w:t>incorporates</w:t>
      </w:r>
      <w:r w:rsidRPr="00FD0B91">
        <w:t xml:space="preserve"> an analysis of C</w:t>
      </w:r>
      <w:r>
        <w:t>anfield’s third construct—</w:t>
      </w:r>
      <w:r w:rsidRPr="00FD0B91">
        <w:t>mode</w:t>
      </w:r>
      <w:r>
        <w:t>—</w:t>
      </w:r>
      <w:r w:rsidRPr="00FD0B91">
        <w:t xml:space="preserve">on the way in which students construct procedural knowledge.  </w:t>
      </w:r>
    </w:p>
    <w:p w:rsidR="00372911" w:rsidRPr="00FD0B91" w:rsidRDefault="00372911" w:rsidP="00372911">
      <w:r>
        <w:t xml:space="preserve">The purpose of the present study was to expand our understanding of the effects of hypermedia-supported knowledge organizers on knowledge construction among college students and of the mediating effects of learning styles. </w:t>
      </w:r>
    </w:p>
    <w:p w:rsidR="00372911" w:rsidRDefault="00372911" w:rsidP="00372911">
      <w:pPr>
        <w:pStyle w:val="Heading3"/>
      </w:pPr>
      <w:r w:rsidRPr="00365584">
        <w:t>Research Questions</w:t>
      </w:r>
    </w:p>
    <w:p w:rsidR="00372911" w:rsidRDefault="00372911" w:rsidP="00372911">
      <w:r w:rsidRPr="00FD0B91">
        <w:t>This study examined the differential effects of three learning tools—essays (i.e., control group), two-dimensional graphic organizers, and n-dimensional knowledge organizers—on performance on the final exam and on knowledge construction at the upper levels of Bloom’s taxonomy.  The effect of learning styles as a moderating variable was analyzed.  The research questions that guided the study were the following:</w:t>
      </w:r>
    </w:p>
    <w:p w:rsidR="00372911" w:rsidRPr="00FD0B91" w:rsidRDefault="00372911" w:rsidP="00CC4FE7">
      <w:pPr>
        <w:ind w:left="360"/>
      </w:pPr>
      <w:r w:rsidRPr="00FD0B91">
        <w:t>Is there a significant main effect among the groups using essays (control group), two-dimensional graphic organizers, and n-dimensional knowledge organizers, and a significant main effect among students with different learning styles with respect to performance on the final exam and knowledge construction after having equated the groups on the pre-test?</w:t>
      </w:r>
    </w:p>
    <w:p w:rsidR="00372911" w:rsidRDefault="00372911" w:rsidP="00CC4FE7">
      <w:pPr>
        <w:ind w:left="360"/>
      </w:pPr>
      <w:r w:rsidRPr="00FD0B91">
        <w:t>Is there a significant interaction between treatment condition and learning styles with respect to performance on the final exam and knowledge construction after having equated the groups on the pre-test?</w:t>
      </w:r>
    </w:p>
    <w:p w:rsidR="00372911" w:rsidRDefault="00372911" w:rsidP="00372911">
      <w:pPr>
        <w:pStyle w:val="Heading3"/>
      </w:pPr>
      <w:r w:rsidRPr="00A14FFB">
        <w:t>Methodology</w:t>
      </w:r>
    </w:p>
    <w:p w:rsidR="00372911" w:rsidRDefault="00372911" w:rsidP="00372911">
      <w:pPr>
        <w:rPr>
          <w:b/>
        </w:rPr>
      </w:pPr>
      <w:proofErr w:type="gramStart"/>
      <w:r w:rsidRPr="00365584">
        <w:rPr>
          <w:b/>
        </w:rPr>
        <w:t>Subjects</w:t>
      </w:r>
      <w:r>
        <w:rPr>
          <w:b/>
        </w:rPr>
        <w:t>.</w:t>
      </w:r>
      <w:proofErr w:type="gramEnd"/>
      <w:r>
        <w:rPr>
          <w:b/>
        </w:rPr>
        <w:t xml:space="preserve"> </w:t>
      </w:r>
      <w:r w:rsidRPr="00FD0B91">
        <w:t xml:space="preserve">Three undergraduate and three graduate groups of students taking a human development course at a northeastern university participated in the study.  These groups included a total of 164 students from the United States and Canada.  Students were not randomly assigned to groups as they self-registered for classes.  Table 1 provides details regarding the gender and country of residence of the students in each group. </w:t>
      </w:r>
    </w:p>
    <w:p w:rsidR="00372911" w:rsidRPr="00A15575" w:rsidRDefault="00372911" w:rsidP="00372911">
      <w:pPr>
        <w:pStyle w:val="Heading5"/>
      </w:pPr>
      <w:r w:rsidRPr="00A15575">
        <w:t>Table 1</w:t>
      </w:r>
    </w:p>
    <w:p w:rsidR="00372911" w:rsidRPr="00A15575" w:rsidRDefault="00372911" w:rsidP="00372911">
      <w:pPr>
        <w:pStyle w:val="Heading5"/>
      </w:pPr>
      <w:r w:rsidRPr="00A15575">
        <w:t>Students’ Gender and Country of Residence</w:t>
      </w:r>
    </w:p>
    <w:tbl>
      <w:tblPr>
        <w:tblW w:w="4583" w:type="pct"/>
        <w:tblLook w:val="04A0" w:firstRow="1" w:lastRow="0" w:firstColumn="1" w:lastColumn="0" w:noHBand="0" w:noVBand="1"/>
      </w:tblPr>
      <w:tblGrid>
        <w:gridCol w:w="2667"/>
        <w:gridCol w:w="886"/>
        <w:gridCol w:w="1222"/>
        <w:gridCol w:w="955"/>
        <w:gridCol w:w="1273"/>
        <w:gridCol w:w="1114"/>
      </w:tblGrid>
      <w:tr w:rsidR="00372911" w:rsidRPr="00FD0B91" w:rsidTr="00372911">
        <w:tc>
          <w:tcPr>
            <w:tcW w:w="1643" w:type="pct"/>
            <w:vMerge w:val="restart"/>
            <w:tcBorders>
              <w:top w:val="single" w:sz="4" w:space="0" w:color="auto"/>
            </w:tcBorders>
            <w:vAlign w:val="center"/>
          </w:tcPr>
          <w:p w:rsidR="00372911" w:rsidRPr="00FD0B91" w:rsidRDefault="00372911" w:rsidP="00372911">
            <w:pPr>
              <w:jc w:val="center"/>
            </w:pPr>
            <w:r w:rsidRPr="00FD0B91">
              <w:t>Group</w:t>
            </w:r>
          </w:p>
        </w:tc>
        <w:tc>
          <w:tcPr>
            <w:tcW w:w="1299" w:type="pct"/>
            <w:gridSpan w:val="2"/>
            <w:tcBorders>
              <w:top w:val="single" w:sz="4" w:space="0" w:color="auto"/>
            </w:tcBorders>
          </w:tcPr>
          <w:p w:rsidR="00372911" w:rsidRPr="00FD0B91" w:rsidRDefault="00372911" w:rsidP="00372911">
            <w:pPr>
              <w:jc w:val="center"/>
            </w:pPr>
            <w:r w:rsidRPr="00FD0B91">
              <w:t>Gender</w:t>
            </w:r>
          </w:p>
        </w:tc>
        <w:tc>
          <w:tcPr>
            <w:tcW w:w="1372" w:type="pct"/>
            <w:gridSpan w:val="2"/>
            <w:tcBorders>
              <w:top w:val="single" w:sz="4" w:space="0" w:color="auto"/>
            </w:tcBorders>
          </w:tcPr>
          <w:p w:rsidR="00372911" w:rsidRPr="00FD0B91" w:rsidRDefault="00372911" w:rsidP="00372911">
            <w:pPr>
              <w:jc w:val="center"/>
            </w:pPr>
            <w:r w:rsidRPr="00FD0B91">
              <w:t>Country of Residence</w:t>
            </w:r>
          </w:p>
        </w:tc>
        <w:tc>
          <w:tcPr>
            <w:tcW w:w="686" w:type="pct"/>
            <w:vMerge w:val="restart"/>
            <w:tcBorders>
              <w:top w:val="single" w:sz="4" w:space="0" w:color="auto"/>
            </w:tcBorders>
            <w:vAlign w:val="center"/>
          </w:tcPr>
          <w:p w:rsidR="00372911" w:rsidRPr="00FD0B91" w:rsidRDefault="00372911" w:rsidP="00372911">
            <w:pPr>
              <w:jc w:val="center"/>
            </w:pPr>
            <w:r w:rsidRPr="00FD0B91">
              <w:t>Totals</w:t>
            </w:r>
          </w:p>
        </w:tc>
      </w:tr>
      <w:tr w:rsidR="00372911" w:rsidRPr="00FD0B91" w:rsidTr="00372911">
        <w:tc>
          <w:tcPr>
            <w:tcW w:w="1643" w:type="pct"/>
            <w:vMerge/>
            <w:tcBorders>
              <w:bottom w:val="single" w:sz="4" w:space="0" w:color="auto"/>
            </w:tcBorders>
          </w:tcPr>
          <w:p w:rsidR="00372911" w:rsidRPr="00FD0B91" w:rsidRDefault="00372911" w:rsidP="00372911"/>
        </w:tc>
        <w:tc>
          <w:tcPr>
            <w:tcW w:w="546" w:type="pct"/>
            <w:tcBorders>
              <w:bottom w:val="single" w:sz="4" w:space="0" w:color="auto"/>
            </w:tcBorders>
          </w:tcPr>
          <w:p w:rsidR="00372911" w:rsidRPr="00FD0B91" w:rsidRDefault="00372911" w:rsidP="00372911">
            <w:pPr>
              <w:jc w:val="center"/>
            </w:pPr>
            <w:r w:rsidRPr="00FD0B91">
              <w:t>Male</w:t>
            </w:r>
          </w:p>
        </w:tc>
        <w:tc>
          <w:tcPr>
            <w:tcW w:w="753" w:type="pct"/>
            <w:tcBorders>
              <w:bottom w:val="single" w:sz="4" w:space="0" w:color="auto"/>
            </w:tcBorders>
          </w:tcPr>
          <w:p w:rsidR="00372911" w:rsidRPr="00FD0B91" w:rsidRDefault="00372911" w:rsidP="00372911">
            <w:pPr>
              <w:jc w:val="center"/>
            </w:pPr>
            <w:r w:rsidRPr="00FD0B91">
              <w:t>Female</w:t>
            </w:r>
          </w:p>
        </w:tc>
        <w:tc>
          <w:tcPr>
            <w:tcW w:w="588" w:type="pct"/>
            <w:tcBorders>
              <w:bottom w:val="single" w:sz="4" w:space="0" w:color="auto"/>
            </w:tcBorders>
          </w:tcPr>
          <w:p w:rsidR="00372911" w:rsidRPr="00FD0B91" w:rsidRDefault="00372911" w:rsidP="00372911">
            <w:pPr>
              <w:jc w:val="center"/>
            </w:pPr>
            <w:r w:rsidRPr="00FD0B91">
              <w:t>US</w:t>
            </w:r>
          </w:p>
        </w:tc>
        <w:tc>
          <w:tcPr>
            <w:tcW w:w="784" w:type="pct"/>
            <w:tcBorders>
              <w:bottom w:val="single" w:sz="4" w:space="0" w:color="auto"/>
            </w:tcBorders>
          </w:tcPr>
          <w:p w:rsidR="00372911" w:rsidRPr="00FD0B91" w:rsidRDefault="00372911" w:rsidP="00372911">
            <w:pPr>
              <w:jc w:val="center"/>
            </w:pPr>
            <w:r w:rsidRPr="00FD0B91">
              <w:t>Canada</w:t>
            </w:r>
          </w:p>
        </w:tc>
        <w:tc>
          <w:tcPr>
            <w:tcW w:w="686" w:type="pct"/>
            <w:vMerge/>
            <w:tcBorders>
              <w:bottom w:val="single" w:sz="4" w:space="0" w:color="auto"/>
            </w:tcBorders>
          </w:tcPr>
          <w:p w:rsidR="00372911" w:rsidRPr="00FD0B91" w:rsidRDefault="00372911" w:rsidP="00372911"/>
        </w:tc>
      </w:tr>
      <w:tr w:rsidR="00372911" w:rsidRPr="00FD0B91" w:rsidTr="00372911">
        <w:tc>
          <w:tcPr>
            <w:tcW w:w="1643" w:type="pct"/>
            <w:tcBorders>
              <w:top w:val="single" w:sz="4" w:space="0" w:color="auto"/>
            </w:tcBorders>
          </w:tcPr>
          <w:p w:rsidR="00372911" w:rsidRPr="00FD0B91" w:rsidRDefault="00372911" w:rsidP="00372911">
            <w:r w:rsidRPr="00FD0B91">
              <w:t>Undergraduate I</w:t>
            </w:r>
          </w:p>
        </w:tc>
        <w:tc>
          <w:tcPr>
            <w:tcW w:w="546" w:type="pct"/>
            <w:tcBorders>
              <w:top w:val="single" w:sz="4" w:space="0" w:color="auto"/>
            </w:tcBorders>
          </w:tcPr>
          <w:p w:rsidR="00372911" w:rsidRPr="00FD0B91" w:rsidRDefault="00372911" w:rsidP="00372911">
            <w:pPr>
              <w:jc w:val="center"/>
            </w:pPr>
            <w:r w:rsidRPr="00FD0B91">
              <w:t>2</w:t>
            </w:r>
          </w:p>
        </w:tc>
        <w:tc>
          <w:tcPr>
            <w:tcW w:w="753" w:type="pct"/>
            <w:tcBorders>
              <w:top w:val="single" w:sz="4" w:space="0" w:color="auto"/>
            </w:tcBorders>
          </w:tcPr>
          <w:p w:rsidR="00372911" w:rsidRPr="00FD0B91" w:rsidRDefault="00372911" w:rsidP="00372911">
            <w:pPr>
              <w:jc w:val="center"/>
            </w:pPr>
            <w:r w:rsidRPr="00FD0B91">
              <w:t>22</w:t>
            </w:r>
          </w:p>
        </w:tc>
        <w:tc>
          <w:tcPr>
            <w:tcW w:w="588" w:type="pct"/>
            <w:tcBorders>
              <w:top w:val="single" w:sz="4" w:space="0" w:color="auto"/>
            </w:tcBorders>
          </w:tcPr>
          <w:p w:rsidR="00372911" w:rsidRPr="00FD0B91" w:rsidRDefault="00372911" w:rsidP="00372911">
            <w:pPr>
              <w:jc w:val="center"/>
            </w:pPr>
            <w:r w:rsidRPr="00FD0B91">
              <w:t>24</w:t>
            </w:r>
          </w:p>
        </w:tc>
        <w:tc>
          <w:tcPr>
            <w:tcW w:w="784" w:type="pct"/>
            <w:tcBorders>
              <w:top w:val="single" w:sz="4" w:space="0" w:color="auto"/>
            </w:tcBorders>
          </w:tcPr>
          <w:p w:rsidR="00372911" w:rsidRPr="00FD0B91" w:rsidRDefault="00372911" w:rsidP="00372911">
            <w:pPr>
              <w:jc w:val="center"/>
            </w:pPr>
            <w:r w:rsidRPr="00FD0B91">
              <w:t>1</w:t>
            </w:r>
          </w:p>
        </w:tc>
        <w:tc>
          <w:tcPr>
            <w:tcW w:w="686" w:type="pct"/>
            <w:tcBorders>
              <w:top w:val="single" w:sz="4" w:space="0" w:color="auto"/>
            </w:tcBorders>
          </w:tcPr>
          <w:p w:rsidR="00372911" w:rsidRPr="00FD0B91" w:rsidRDefault="00372911" w:rsidP="00372911">
            <w:pPr>
              <w:jc w:val="center"/>
            </w:pPr>
            <w:r w:rsidRPr="00FD0B91">
              <w:t>24</w:t>
            </w:r>
          </w:p>
        </w:tc>
      </w:tr>
      <w:tr w:rsidR="00372911" w:rsidRPr="00FD0B91" w:rsidTr="00372911">
        <w:tc>
          <w:tcPr>
            <w:tcW w:w="1643" w:type="pct"/>
          </w:tcPr>
          <w:p w:rsidR="00372911" w:rsidRPr="00FD0B91" w:rsidRDefault="00372911" w:rsidP="00372911">
            <w:r w:rsidRPr="00FD0B91">
              <w:t>Undergraduate II</w:t>
            </w:r>
          </w:p>
        </w:tc>
        <w:tc>
          <w:tcPr>
            <w:tcW w:w="546" w:type="pct"/>
          </w:tcPr>
          <w:p w:rsidR="00372911" w:rsidRPr="00FD0B91" w:rsidRDefault="00372911" w:rsidP="00372911">
            <w:pPr>
              <w:jc w:val="center"/>
            </w:pPr>
            <w:r w:rsidRPr="00FD0B91">
              <w:t>3</w:t>
            </w:r>
          </w:p>
        </w:tc>
        <w:tc>
          <w:tcPr>
            <w:tcW w:w="753" w:type="pct"/>
          </w:tcPr>
          <w:p w:rsidR="00372911" w:rsidRPr="00FD0B91" w:rsidRDefault="00372911" w:rsidP="00372911">
            <w:pPr>
              <w:jc w:val="center"/>
            </w:pPr>
            <w:r w:rsidRPr="00FD0B91">
              <w:t>19</w:t>
            </w:r>
          </w:p>
        </w:tc>
        <w:tc>
          <w:tcPr>
            <w:tcW w:w="588" w:type="pct"/>
          </w:tcPr>
          <w:p w:rsidR="00372911" w:rsidRPr="00FD0B91" w:rsidRDefault="00372911" w:rsidP="00372911">
            <w:pPr>
              <w:jc w:val="center"/>
            </w:pPr>
            <w:r w:rsidRPr="00FD0B91">
              <w:t>21</w:t>
            </w:r>
          </w:p>
        </w:tc>
        <w:tc>
          <w:tcPr>
            <w:tcW w:w="784" w:type="pct"/>
          </w:tcPr>
          <w:p w:rsidR="00372911" w:rsidRPr="00FD0B91" w:rsidRDefault="00372911" w:rsidP="00372911">
            <w:pPr>
              <w:jc w:val="center"/>
            </w:pPr>
            <w:r w:rsidRPr="00FD0B91">
              <w:t>2</w:t>
            </w:r>
          </w:p>
        </w:tc>
        <w:tc>
          <w:tcPr>
            <w:tcW w:w="686" w:type="pct"/>
          </w:tcPr>
          <w:p w:rsidR="00372911" w:rsidRPr="00FD0B91" w:rsidRDefault="00372911" w:rsidP="00372911">
            <w:pPr>
              <w:jc w:val="center"/>
            </w:pPr>
            <w:r w:rsidRPr="00FD0B91">
              <w:t>22</w:t>
            </w:r>
          </w:p>
        </w:tc>
      </w:tr>
      <w:tr w:rsidR="00372911" w:rsidRPr="00FD0B91" w:rsidTr="00372911">
        <w:tc>
          <w:tcPr>
            <w:tcW w:w="1643" w:type="pct"/>
          </w:tcPr>
          <w:p w:rsidR="00372911" w:rsidRPr="00FD0B91" w:rsidRDefault="00372911" w:rsidP="00372911">
            <w:r w:rsidRPr="00FD0B91">
              <w:t>Undergraduate III</w:t>
            </w:r>
          </w:p>
        </w:tc>
        <w:tc>
          <w:tcPr>
            <w:tcW w:w="546" w:type="pct"/>
          </w:tcPr>
          <w:p w:rsidR="00372911" w:rsidRPr="00FD0B91" w:rsidRDefault="00372911" w:rsidP="00372911">
            <w:pPr>
              <w:jc w:val="center"/>
            </w:pPr>
            <w:r w:rsidRPr="00FD0B91">
              <w:t>1</w:t>
            </w:r>
          </w:p>
        </w:tc>
        <w:tc>
          <w:tcPr>
            <w:tcW w:w="753" w:type="pct"/>
          </w:tcPr>
          <w:p w:rsidR="00372911" w:rsidRPr="00FD0B91" w:rsidRDefault="00372911" w:rsidP="00372911">
            <w:pPr>
              <w:jc w:val="center"/>
            </w:pPr>
            <w:r w:rsidRPr="00FD0B91">
              <w:t>20</w:t>
            </w:r>
          </w:p>
        </w:tc>
        <w:tc>
          <w:tcPr>
            <w:tcW w:w="588" w:type="pct"/>
          </w:tcPr>
          <w:p w:rsidR="00372911" w:rsidRPr="00FD0B91" w:rsidRDefault="00372911" w:rsidP="00372911">
            <w:pPr>
              <w:jc w:val="center"/>
            </w:pPr>
            <w:r w:rsidRPr="00FD0B91">
              <w:t>20</w:t>
            </w:r>
          </w:p>
        </w:tc>
        <w:tc>
          <w:tcPr>
            <w:tcW w:w="784" w:type="pct"/>
          </w:tcPr>
          <w:p w:rsidR="00372911" w:rsidRPr="00FD0B91" w:rsidRDefault="00372911" w:rsidP="00372911">
            <w:pPr>
              <w:jc w:val="center"/>
            </w:pPr>
            <w:r w:rsidRPr="00FD0B91">
              <w:t>1</w:t>
            </w:r>
          </w:p>
        </w:tc>
        <w:tc>
          <w:tcPr>
            <w:tcW w:w="686" w:type="pct"/>
          </w:tcPr>
          <w:p w:rsidR="00372911" w:rsidRPr="00FD0B91" w:rsidRDefault="00372911" w:rsidP="00372911">
            <w:pPr>
              <w:jc w:val="center"/>
            </w:pPr>
            <w:r w:rsidRPr="00FD0B91">
              <w:t>21</w:t>
            </w:r>
          </w:p>
        </w:tc>
      </w:tr>
      <w:tr w:rsidR="00372911" w:rsidRPr="00FD0B91" w:rsidTr="00372911">
        <w:tc>
          <w:tcPr>
            <w:tcW w:w="1643" w:type="pct"/>
          </w:tcPr>
          <w:p w:rsidR="00372911" w:rsidRPr="00FD0B91" w:rsidRDefault="00372911" w:rsidP="00372911">
            <w:r w:rsidRPr="00FD0B91">
              <w:t>Graduate I</w:t>
            </w:r>
          </w:p>
        </w:tc>
        <w:tc>
          <w:tcPr>
            <w:tcW w:w="546" w:type="pct"/>
          </w:tcPr>
          <w:p w:rsidR="00372911" w:rsidRPr="00FD0B91" w:rsidRDefault="00372911" w:rsidP="00372911">
            <w:pPr>
              <w:jc w:val="center"/>
            </w:pPr>
            <w:r w:rsidRPr="00FD0B91">
              <w:t>12</w:t>
            </w:r>
          </w:p>
        </w:tc>
        <w:tc>
          <w:tcPr>
            <w:tcW w:w="753" w:type="pct"/>
          </w:tcPr>
          <w:p w:rsidR="00372911" w:rsidRPr="00FD0B91" w:rsidRDefault="00372911" w:rsidP="00372911">
            <w:pPr>
              <w:jc w:val="center"/>
            </w:pPr>
            <w:r w:rsidRPr="00FD0B91">
              <w:t>20</w:t>
            </w:r>
          </w:p>
        </w:tc>
        <w:tc>
          <w:tcPr>
            <w:tcW w:w="588" w:type="pct"/>
          </w:tcPr>
          <w:p w:rsidR="00372911" w:rsidRPr="00FD0B91" w:rsidRDefault="00372911" w:rsidP="00372911">
            <w:pPr>
              <w:jc w:val="center"/>
            </w:pPr>
            <w:r w:rsidRPr="00FD0B91">
              <w:t>5</w:t>
            </w:r>
          </w:p>
        </w:tc>
        <w:tc>
          <w:tcPr>
            <w:tcW w:w="784" w:type="pct"/>
          </w:tcPr>
          <w:p w:rsidR="00372911" w:rsidRPr="00FD0B91" w:rsidRDefault="00372911" w:rsidP="00372911">
            <w:pPr>
              <w:jc w:val="center"/>
            </w:pPr>
            <w:r w:rsidRPr="00FD0B91">
              <w:t>27</w:t>
            </w:r>
          </w:p>
        </w:tc>
        <w:tc>
          <w:tcPr>
            <w:tcW w:w="686" w:type="pct"/>
          </w:tcPr>
          <w:p w:rsidR="00372911" w:rsidRPr="00FD0B91" w:rsidRDefault="00372911" w:rsidP="00372911">
            <w:pPr>
              <w:jc w:val="center"/>
            </w:pPr>
            <w:r w:rsidRPr="00FD0B91">
              <w:t>32</w:t>
            </w:r>
          </w:p>
        </w:tc>
      </w:tr>
      <w:tr w:rsidR="00372911" w:rsidRPr="00FD0B91" w:rsidTr="00372911">
        <w:tc>
          <w:tcPr>
            <w:tcW w:w="1643" w:type="pct"/>
          </w:tcPr>
          <w:p w:rsidR="00372911" w:rsidRPr="00FD0B91" w:rsidRDefault="00372911" w:rsidP="00372911">
            <w:r w:rsidRPr="00FD0B91">
              <w:t>Graduate II</w:t>
            </w:r>
          </w:p>
        </w:tc>
        <w:tc>
          <w:tcPr>
            <w:tcW w:w="546" w:type="pct"/>
          </w:tcPr>
          <w:p w:rsidR="00372911" w:rsidRPr="00FD0B91" w:rsidRDefault="00372911" w:rsidP="00372911">
            <w:pPr>
              <w:jc w:val="center"/>
            </w:pPr>
            <w:r w:rsidRPr="00FD0B91">
              <w:t>4</w:t>
            </w:r>
          </w:p>
        </w:tc>
        <w:tc>
          <w:tcPr>
            <w:tcW w:w="753" w:type="pct"/>
          </w:tcPr>
          <w:p w:rsidR="00372911" w:rsidRPr="00FD0B91" w:rsidRDefault="00372911" w:rsidP="00372911">
            <w:pPr>
              <w:jc w:val="center"/>
            </w:pPr>
            <w:r w:rsidRPr="00FD0B91">
              <w:t>31</w:t>
            </w:r>
          </w:p>
        </w:tc>
        <w:tc>
          <w:tcPr>
            <w:tcW w:w="588" w:type="pct"/>
          </w:tcPr>
          <w:p w:rsidR="00372911" w:rsidRPr="00FD0B91" w:rsidRDefault="00372911" w:rsidP="00372911">
            <w:pPr>
              <w:jc w:val="center"/>
            </w:pPr>
            <w:r w:rsidRPr="00FD0B91">
              <w:t>6</w:t>
            </w:r>
          </w:p>
        </w:tc>
        <w:tc>
          <w:tcPr>
            <w:tcW w:w="784" w:type="pct"/>
          </w:tcPr>
          <w:p w:rsidR="00372911" w:rsidRPr="00FD0B91" w:rsidRDefault="00372911" w:rsidP="00372911">
            <w:pPr>
              <w:jc w:val="center"/>
            </w:pPr>
            <w:r w:rsidRPr="00FD0B91">
              <w:t>29</w:t>
            </w:r>
          </w:p>
        </w:tc>
        <w:tc>
          <w:tcPr>
            <w:tcW w:w="686" w:type="pct"/>
          </w:tcPr>
          <w:p w:rsidR="00372911" w:rsidRPr="00FD0B91" w:rsidRDefault="00372911" w:rsidP="00372911">
            <w:pPr>
              <w:jc w:val="center"/>
            </w:pPr>
            <w:r w:rsidRPr="00FD0B91">
              <w:t>35</w:t>
            </w:r>
          </w:p>
        </w:tc>
      </w:tr>
      <w:tr w:rsidR="00372911" w:rsidRPr="00FD0B91" w:rsidTr="00372911">
        <w:tc>
          <w:tcPr>
            <w:tcW w:w="1643" w:type="pct"/>
            <w:tcBorders>
              <w:bottom w:val="single" w:sz="4" w:space="0" w:color="auto"/>
            </w:tcBorders>
          </w:tcPr>
          <w:p w:rsidR="00372911" w:rsidRPr="00FD0B91" w:rsidRDefault="00372911" w:rsidP="00372911">
            <w:r w:rsidRPr="00FD0B91">
              <w:t>Graduate III</w:t>
            </w:r>
          </w:p>
        </w:tc>
        <w:tc>
          <w:tcPr>
            <w:tcW w:w="546" w:type="pct"/>
            <w:tcBorders>
              <w:bottom w:val="single" w:sz="4" w:space="0" w:color="auto"/>
            </w:tcBorders>
          </w:tcPr>
          <w:p w:rsidR="00372911" w:rsidRPr="00FD0B91" w:rsidRDefault="00372911" w:rsidP="00372911">
            <w:pPr>
              <w:jc w:val="center"/>
            </w:pPr>
            <w:r w:rsidRPr="00FD0B91">
              <w:t>7</w:t>
            </w:r>
          </w:p>
        </w:tc>
        <w:tc>
          <w:tcPr>
            <w:tcW w:w="753" w:type="pct"/>
            <w:tcBorders>
              <w:bottom w:val="single" w:sz="4" w:space="0" w:color="auto"/>
            </w:tcBorders>
          </w:tcPr>
          <w:p w:rsidR="00372911" w:rsidRPr="00FD0B91" w:rsidRDefault="00372911" w:rsidP="00372911">
            <w:pPr>
              <w:jc w:val="center"/>
            </w:pPr>
            <w:r w:rsidRPr="00FD0B91">
              <w:t>23</w:t>
            </w:r>
          </w:p>
        </w:tc>
        <w:tc>
          <w:tcPr>
            <w:tcW w:w="588" w:type="pct"/>
            <w:tcBorders>
              <w:bottom w:val="single" w:sz="4" w:space="0" w:color="auto"/>
            </w:tcBorders>
          </w:tcPr>
          <w:p w:rsidR="00372911" w:rsidRPr="00FD0B91" w:rsidRDefault="00372911" w:rsidP="00372911">
            <w:pPr>
              <w:jc w:val="center"/>
            </w:pPr>
            <w:r w:rsidRPr="00FD0B91">
              <w:t>3</w:t>
            </w:r>
          </w:p>
        </w:tc>
        <w:tc>
          <w:tcPr>
            <w:tcW w:w="784" w:type="pct"/>
            <w:tcBorders>
              <w:bottom w:val="single" w:sz="4" w:space="0" w:color="auto"/>
            </w:tcBorders>
          </w:tcPr>
          <w:p w:rsidR="00372911" w:rsidRPr="00FD0B91" w:rsidRDefault="00372911" w:rsidP="00372911">
            <w:pPr>
              <w:jc w:val="center"/>
            </w:pPr>
            <w:r w:rsidRPr="00FD0B91">
              <w:t>27</w:t>
            </w:r>
          </w:p>
        </w:tc>
        <w:tc>
          <w:tcPr>
            <w:tcW w:w="686" w:type="pct"/>
            <w:tcBorders>
              <w:bottom w:val="single" w:sz="4" w:space="0" w:color="auto"/>
            </w:tcBorders>
          </w:tcPr>
          <w:p w:rsidR="00372911" w:rsidRPr="00FD0B91" w:rsidRDefault="00372911" w:rsidP="00372911">
            <w:pPr>
              <w:jc w:val="center"/>
            </w:pPr>
            <w:r w:rsidRPr="00FD0B91">
              <w:t>30</w:t>
            </w:r>
          </w:p>
        </w:tc>
      </w:tr>
    </w:tbl>
    <w:p w:rsidR="00372911" w:rsidRDefault="00372911" w:rsidP="00372911">
      <w:pPr>
        <w:rPr>
          <w:b/>
        </w:rPr>
      </w:pPr>
      <w:r>
        <w:br/>
      </w:r>
      <w:proofErr w:type="gramStart"/>
      <w:r>
        <w:rPr>
          <w:b/>
        </w:rPr>
        <w:t>I</w:t>
      </w:r>
      <w:r w:rsidRPr="00365584">
        <w:rPr>
          <w:b/>
        </w:rPr>
        <w:t>nstrumentation</w:t>
      </w:r>
      <w:r>
        <w:rPr>
          <w:b/>
        </w:rPr>
        <w:t>.</w:t>
      </w:r>
      <w:proofErr w:type="gramEnd"/>
      <w:r>
        <w:rPr>
          <w:b/>
        </w:rPr>
        <w:t xml:space="preserve"> </w:t>
      </w:r>
      <w:r w:rsidRPr="00FD0B91">
        <w:t xml:space="preserve">To assess the differential effects of essays, two-dimensional graphic organizers, and n-dimensional knowledge organizers on knowledge acquisition at the various levels of Bloom’s taxonomy, </w:t>
      </w:r>
      <w:r>
        <w:t xml:space="preserve">the following </w:t>
      </w:r>
      <w:r w:rsidRPr="00FD0B91">
        <w:t xml:space="preserve">instruments were </w:t>
      </w:r>
      <w:r>
        <w:t>utilized</w:t>
      </w:r>
      <w:r w:rsidRPr="00FD0B91">
        <w:t>.</w:t>
      </w:r>
    </w:p>
    <w:p w:rsidR="00372911" w:rsidRDefault="00372911" w:rsidP="00372911">
      <w:pPr>
        <w:rPr>
          <w:b/>
          <w:i/>
        </w:rPr>
      </w:pPr>
      <w:proofErr w:type="gramStart"/>
      <w:r w:rsidRPr="002A044E">
        <w:rPr>
          <w:b/>
          <w:i/>
        </w:rPr>
        <w:t>Achievement Pre- and Posttests</w:t>
      </w:r>
      <w:r>
        <w:rPr>
          <w:b/>
          <w:i/>
        </w:rPr>
        <w:t>.</w:t>
      </w:r>
      <w:proofErr w:type="gramEnd"/>
      <w:r>
        <w:rPr>
          <w:b/>
          <w:i/>
        </w:rPr>
        <w:t xml:space="preserve"> </w:t>
      </w:r>
      <w:r w:rsidRPr="00FD0B91">
        <w:t>Academic performance was operationalized through the use of a pre- and a posttest that measured the extent to which students mastered the course content at the lower levels of Bloom’s Taxonomy. The development of the two parallel forms was accomplished by creating a set of 250 multiple-choice questions that addressed six constructs which reflected the course material, deleting or rephrasing some of the items during the content validity analysis, and then randomly dividing the questions into two sets. To obtain content validity, the 250 items were submitted to six experts in the field of educational psychology who were asked to analyze each item and to indicate, using a five-point scale, (a) which of the six constructs they believed the item was measuring, (b) how accurately they believed that the item was measuring that construct, (c) at what level of Bloom’s taxonomy they believed the item was measuring knowledge acquisition, (d) how confident they were that the item was measuring knowledge acquisition at the selected level of Bloom’s taxonomy, (e) whether they believed that the item should be rephrased, and, if so, (f) how it should be rephrased.  Items with less that 80% agreement on points “a” through “d” were deleted.  Some items were rephrased and resubmitted to the experts.  At the end, the 20 items with the highest levels of agreement per construct were retained, totaling 120 items that were split into two instruments.  Both forms of the test were administered to a group of 65 graduate and undergraduate education majors and their scores were correlated.  The coefficients of equivalence for the six constructs ranged from .88 to .94.  The forms were named “Form A” and “Form B.”</w:t>
      </w:r>
    </w:p>
    <w:p w:rsidR="00372911" w:rsidRDefault="00372911" w:rsidP="00372911">
      <w:pPr>
        <w:rPr>
          <w:b/>
          <w:i/>
        </w:rPr>
      </w:pPr>
      <w:proofErr w:type="gramStart"/>
      <w:r w:rsidRPr="002A044E">
        <w:rPr>
          <w:b/>
          <w:i/>
        </w:rPr>
        <w:t>Learning Tools Rubric</w:t>
      </w:r>
      <w:r>
        <w:rPr>
          <w:b/>
          <w:i/>
        </w:rPr>
        <w:t>.</w:t>
      </w:r>
      <w:proofErr w:type="gramEnd"/>
      <w:r>
        <w:rPr>
          <w:b/>
          <w:i/>
        </w:rPr>
        <w:t xml:space="preserve"> </w:t>
      </w:r>
      <w:r w:rsidRPr="00FD0B91">
        <w:t>A descriptive scoring scheme was developed by the researcher to determine the extent to which th</w:t>
      </w:r>
      <w:r>
        <w:t>e three learning tools—essays, two</w:t>
      </w:r>
      <w:r w:rsidRPr="00FD0B91">
        <w:t xml:space="preserve">-dimensional graphic organizers, and n-dimensional knowledge organizers—reflected knowledge construction at the higher levels of Bloom’s taxonomy.  To achieve this, (1) the objectives of the rubric were stated, (2) scoring criteria were developed for each objective, and (3) the researcher corroborated that all the objectives were measured through the scoring criteria and that no scoring criteria was unrelated to the objectives. Content validity was obtained by asking ten experts in educational psychology whether (1) the evaluation criteria addressed any extraneous content, (2) the evaluation criteria addressed all aspects of the intended content, and (3) there was any content that should be evaluated that was not being addressed.  Whenever an issue was raised, the rubric was redesigned until all six experts believed that the rubric was accurately measuring what it was intended to measure. </w:t>
      </w:r>
    </w:p>
    <w:p w:rsidR="00372911" w:rsidRDefault="00372911" w:rsidP="00372911">
      <w:pPr>
        <w:rPr>
          <w:b/>
          <w:i/>
        </w:rPr>
      </w:pPr>
      <w:proofErr w:type="gramStart"/>
      <w:r w:rsidRPr="00FA22EE">
        <w:rPr>
          <w:b/>
          <w:i/>
        </w:rPr>
        <w:t>Learning Styles Inventory</w:t>
      </w:r>
      <w:r>
        <w:rPr>
          <w:b/>
          <w:i/>
        </w:rPr>
        <w:t>.</w:t>
      </w:r>
      <w:proofErr w:type="gramEnd"/>
      <w:r>
        <w:rPr>
          <w:b/>
          <w:i/>
        </w:rPr>
        <w:t xml:space="preserve"> </w:t>
      </w:r>
      <w:r w:rsidRPr="00FD0B91">
        <w:t xml:space="preserve">The Learning Styles Inventory (LSI) developed by Albert A. Canfield and published by Western Psychological Services was used to determine students’ learning preferences.  </w:t>
      </w:r>
      <w:proofErr w:type="gramStart"/>
      <w:r w:rsidRPr="00FD0B91">
        <w:t>The four areas that this instrument measures include preferred conditions for learning, areas of interest, mode of learning, and expectation for course grade.</w:t>
      </w:r>
      <w:proofErr w:type="gramEnd"/>
      <w:r w:rsidRPr="00FD0B91">
        <w:t xml:space="preserve">  However, only the items corresponding to the construct “Mode of Learning” were used as a measure of the moderating variable “Learning Styles.”  This inventory examines whether </w:t>
      </w:r>
      <w:r w:rsidRPr="00FD0B91">
        <w:rPr>
          <w:rFonts w:cs="Arial"/>
        </w:rPr>
        <w:t>the student prefers to obtain new information through listening, reading, interpreting illustrations or graphs, or through hands-on experience.  Internal consistency reliability values range from .87 to .96.  Split-half reliability values range from .96 to .00, and test-retest reliability values range from .62 to .78.  Criterion related validity was estimated by collecting data on groups of individuals for who prior learning styles expectations existed.  The validity coefficients range from .24 to .77.</w:t>
      </w:r>
    </w:p>
    <w:p w:rsidR="00372911" w:rsidRDefault="00372911" w:rsidP="00372911">
      <w:pPr>
        <w:rPr>
          <w:b/>
        </w:rPr>
      </w:pPr>
      <w:proofErr w:type="gramStart"/>
      <w:r w:rsidRPr="00A15575">
        <w:rPr>
          <w:b/>
          <w:i/>
        </w:rPr>
        <w:t>Research Design.</w:t>
      </w:r>
      <w:proofErr w:type="gramEnd"/>
      <w:r>
        <w:rPr>
          <w:b/>
        </w:rPr>
        <w:t xml:space="preserve"> </w:t>
      </w:r>
      <w:r w:rsidRPr="00FD0B91">
        <w:t>A three by four multiple analysis of covariance was conducted with treatment condition (</w:t>
      </w:r>
      <w:proofErr w:type="spellStart"/>
      <w:r w:rsidRPr="00FD0B91">
        <w:t>LearningTool</w:t>
      </w:r>
      <w:proofErr w:type="spellEnd"/>
      <w:r w:rsidRPr="00FD0B91">
        <w:t xml:space="preserve">) and learning styles as independent variables, posttest and performance on the “Learning Tools Rubric,” which focuses on knowledge construction at the higher levels of Bloom’s taxonomy (i.e., apply, analyze, evaluate and create), as dependent variables, and pretest as the covariate.  Treatment condition had three levels: essays, 2-dimensional graphic organizers, and n-dimensional knowledge organizers. Learning styles had four levels: listening, reading, </w:t>
      </w:r>
      <w:r w:rsidRPr="00FD0B91">
        <w:rPr>
          <w:rFonts w:cs="Arial"/>
        </w:rPr>
        <w:t xml:space="preserve">iconic and direct experience. Because students were not randomly assigned to groups, </w:t>
      </w:r>
      <w:r w:rsidRPr="00FD0B91">
        <w:rPr>
          <w:rFonts w:cs="Arial"/>
          <w:i/>
        </w:rPr>
        <w:t>selection</w:t>
      </w:r>
      <w:r w:rsidRPr="00FD0B91">
        <w:rPr>
          <w:rFonts w:cs="Arial"/>
        </w:rPr>
        <w:t xml:space="preserve"> was considered a poten</w:t>
      </w:r>
      <w:r w:rsidR="00BE2BB0">
        <w:rPr>
          <w:rFonts w:cs="Arial"/>
        </w:rPr>
        <w:t>tial external validity threat.</w:t>
      </w:r>
    </w:p>
    <w:p w:rsidR="00372911" w:rsidRPr="0016737E" w:rsidRDefault="00372911" w:rsidP="00372911">
      <w:pPr>
        <w:pStyle w:val="Heading3"/>
      </w:pPr>
      <w:r w:rsidRPr="0016737E">
        <w:t>Procedure</w:t>
      </w:r>
      <w:r>
        <w:t>.</w:t>
      </w:r>
    </w:p>
    <w:p w:rsidR="00372911" w:rsidRDefault="00372911" w:rsidP="00372911">
      <w:pPr>
        <w:rPr>
          <w:b/>
          <w:i/>
        </w:rPr>
      </w:pPr>
      <w:proofErr w:type="gramStart"/>
      <w:r w:rsidRPr="0016737E">
        <w:rPr>
          <w:b/>
          <w:i/>
        </w:rPr>
        <w:t>Pre-intervention</w:t>
      </w:r>
      <w:r>
        <w:rPr>
          <w:b/>
          <w:i/>
        </w:rPr>
        <w:t>.</w:t>
      </w:r>
      <w:proofErr w:type="gramEnd"/>
      <w:r>
        <w:rPr>
          <w:b/>
          <w:i/>
        </w:rPr>
        <w:t xml:space="preserve"> </w:t>
      </w:r>
      <w:r w:rsidRPr="00FD0B91">
        <w:t>All students took the pretest at the beginning of the course in order to determine the levels of familiarity with the course content.  However, not all students took the same form of the test; students whose last name started with one of the first thirteen letters of the alphabet (</w:t>
      </w:r>
      <w:r w:rsidRPr="00FD0B91">
        <w:rPr>
          <w:i/>
        </w:rPr>
        <w:t>a</w:t>
      </w:r>
      <w:r w:rsidRPr="00FD0B91">
        <w:t xml:space="preserve"> through </w:t>
      </w:r>
      <w:r w:rsidRPr="00FD0B91">
        <w:rPr>
          <w:i/>
        </w:rPr>
        <w:t>m</w:t>
      </w:r>
      <w:r w:rsidRPr="00FD0B91">
        <w:t xml:space="preserve">) took “Form A” and the remaining students took “Form B.”  The second session was devoted to the analysis of Bloom’s taxonomy and the relevance of knowledge construction at the various levels.  Specific examples of performance at each level were provided and students were told that the final project—essays, 2-dimensional graphic organizers, and n-dimensional knowledge organizers—would be assessed using a rubric that looked for evidence of knowledge construction at the higher levels of Bloom’s taxonomy. </w:t>
      </w:r>
    </w:p>
    <w:p w:rsidR="00372911" w:rsidRDefault="00372911" w:rsidP="00372911">
      <w:pPr>
        <w:rPr>
          <w:b/>
          <w:i/>
        </w:rPr>
      </w:pPr>
      <w:proofErr w:type="gramStart"/>
      <w:r w:rsidRPr="0016737E">
        <w:rPr>
          <w:b/>
          <w:i/>
        </w:rPr>
        <w:t>Intervention</w:t>
      </w:r>
      <w:r>
        <w:rPr>
          <w:b/>
          <w:i/>
        </w:rPr>
        <w:t>.</w:t>
      </w:r>
      <w:proofErr w:type="gramEnd"/>
      <w:r>
        <w:rPr>
          <w:b/>
          <w:i/>
        </w:rPr>
        <w:t xml:space="preserve"> </w:t>
      </w:r>
      <w:r w:rsidRPr="00FD0B91">
        <w:t xml:space="preserve">The groups that had to create an essay reviewed the elements that ought to be included in this type of written assignments and were instructed to incorporate specific examples that showed how the theories of human development could be put into practice.  The groups that developed 2-dimensional products were taught how to create various types of graphic organizers including concept maps and mind maps.  They were also instructed to include specific practical examples.  The groups that developed n-dimensional organizers were taught how to incorporate text, graphics, audio and video with hypertext using NVU and PowerPoint.  However, they were allowed to use any other type of hypermedia-based software that they were familiar with.  An emphasis was also placed on the importance of including practical examples.  All groups were taught by the same researcher.  </w:t>
      </w:r>
    </w:p>
    <w:p w:rsidR="00372911" w:rsidRDefault="00372911" w:rsidP="00372911">
      <w:pPr>
        <w:rPr>
          <w:b/>
          <w:i/>
        </w:rPr>
      </w:pPr>
      <w:proofErr w:type="gramStart"/>
      <w:r w:rsidRPr="0016737E">
        <w:rPr>
          <w:b/>
          <w:i/>
        </w:rPr>
        <w:t>Post-intervention</w:t>
      </w:r>
      <w:r>
        <w:rPr>
          <w:b/>
          <w:i/>
        </w:rPr>
        <w:t>.</w:t>
      </w:r>
      <w:proofErr w:type="gramEnd"/>
      <w:r>
        <w:rPr>
          <w:b/>
          <w:i/>
        </w:rPr>
        <w:t xml:space="preserve"> </w:t>
      </w:r>
      <w:r w:rsidRPr="00FD0B91">
        <w:t>All students took a posttest; those who had taken “Form A” as a pretest were given “Form B” as a posttest and vice versa.  They also submitted final projects—essays, 2-dimensional graphic organizers, and n-dimensional knowledge organizers—which were assessed by two experts in educational psychology using the “Learning Tools Rubric.”</w:t>
      </w:r>
    </w:p>
    <w:p w:rsidR="00372911" w:rsidRDefault="00372911" w:rsidP="00372911">
      <w:pPr>
        <w:pStyle w:val="Heading3"/>
      </w:pPr>
      <w:r w:rsidRPr="00A14FFB">
        <w:t xml:space="preserve">Data Analysis </w:t>
      </w:r>
      <w:r>
        <w:t>and</w:t>
      </w:r>
      <w:r w:rsidRPr="00A14FFB">
        <w:t xml:space="preserve"> Results</w:t>
      </w:r>
    </w:p>
    <w:p w:rsidR="00372911" w:rsidRDefault="00372911" w:rsidP="00372911">
      <w:r w:rsidRPr="00FD0B91">
        <w:rPr>
          <w:rFonts w:cs="Arial"/>
        </w:rPr>
        <w:t>SPSS was used to perform a</w:t>
      </w:r>
      <w:r w:rsidRPr="00FD0B91">
        <w:t xml:space="preserve"> 3 x 4 between-subjects multivariate analysis of covariance</w:t>
      </w:r>
      <w:r w:rsidRPr="00FD0B91">
        <w:rPr>
          <w:rFonts w:cs="Arial"/>
        </w:rPr>
        <w:t xml:space="preserve"> with the sequential adjustment for </w:t>
      </w:r>
      <w:proofErr w:type="spellStart"/>
      <w:r w:rsidRPr="00FD0B91">
        <w:rPr>
          <w:rFonts w:cs="Arial"/>
        </w:rPr>
        <w:t>nonorthogonality</w:t>
      </w:r>
      <w:proofErr w:type="spellEnd"/>
      <w:r w:rsidRPr="00FD0B91">
        <w:rPr>
          <w:rFonts w:cs="Arial"/>
        </w:rPr>
        <w:t xml:space="preserve">. </w:t>
      </w:r>
      <w:r w:rsidRPr="00FD0B91">
        <w:t xml:space="preserve">The five dependent variables were Posttest, Applying, Analyzing, Evaluating, and Creating. Covariate was Pretest and independent variables were </w:t>
      </w:r>
      <w:proofErr w:type="spellStart"/>
      <w:r w:rsidRPr="00FD0B91">
        <w:t>LearningTool</w:t>
      </w:r>
      <w:proofErr w:type="spellEnd"/>
      <w:r w:rsidRPr="00FD0B91">
        <w:t xml:space="preserve">, with three levels (essays, 2-dimensional graphic organizers and n-dimensional knowledge organizers), and </w:t>
      </w:r>
      <w:proofErr w:type="spellStart"/>
      <w:r w:rsidRPr="00FD0B91">
        <w:t>LearningStyles</w:t>
      </w:r>
      <w:proofErr w:type="spellEnd"/>
      <w:r w:rsidRPr="00FD0B91">
        <w:t xml:space="preserve">, with four levels (listening, reading, </w:t>
      </w:r>
      <w:r w:rsidRPr="00FD0B91">
        <w:rPr>
          <w:rFonts w:cs="Arial"/>
        </w:rPr>
        <w:t>iconic and direct experience), entered in that order. A direct discriminant analysis was performed as a follow up to the MANCOVA.</w:t>
      </w:r>
    </w:p>
    <w:p w:rsidR="00372911" w:rsidRDefault="00372911" w:rsidP="00372911">
      <w:pPr>
        <w:rPr>
          <w:rFonts w:cs="Arial"/>
        </w:rPr>
      </w:pPr>
      <w:r w:rsidRPr="00FD0B91">
        <w:rPr>
          <w:rFonts w:cs="Arial"/>
        </w:rPr>
        <w:t xml:space="preserve">Total N was 164 and no cases were deleted, as no data was missing.  There were no </w:t>
      </w:r>
      <w:proofErr w:type="spellStart"/>
      <w:r w:rsidRPr="00FD0B91">
        <w:rPr>
          <w:rFonts w:cs="Arial"/>
        </w:rPr>
        <w:t>univariate</w:t>
      </w:r>
      <w:proofErr w:type="spellEnd"/>
      <w:r w:rsidRPr="00FD0B91">
        <w:rPr>
          <w:rFonts w:cs="Arial"/>
        </w:rPr>
        <w:t xml:space="preserve"> or multivariate within-cell outliers at p &lt; .001.  Results of evaluation of assumptions of normality, homogeneity of variance-covariance matrices, linearity, and </w:t>
      </w:r>
      <w:proofErr w:type="spellStart"/>
      <w:r w:rsidRPr="00FD0B91">
        <w:rPr>
          <w:rFonts w:cs="Arial"/>
        </w:rPr>
        <w:t>multicollinearity</w:t>
      </w:r>
      <w:proofErr w:type="spellEnd"/>
      <w:r w:rsidRPr="00FD0B91">
        <w:rPr>
          <w:rFonts w:cs="Arial"/>
        </w:rPr>
        <w:t xml:space="preserve"> were satisfactory. Covariate was judged to be adequately reliable for covariance analysis.  </w:t>
      </w:r>
    </w:p>
    <w:p w:rsidR="00372911" w:rsidRDefault="00372911" w:rsidP="00372911">
      <w:pPr>
        <w:spacing w:before="0" w:after="0"/>
        <w:rPr>
          <w:rFonts w:cs="Arial"/>
        </w:rPr>
      </w:pPr>
      <w:r w:rsidRPr="00FD0B91">
        <w:rPr>
          <w:rFonts w:cs="Arial"/>
        </w:rPr>
        <w:t xml:space="preserve">Using </w:t>
      </w:r>
      <w:proofErr w:type="spellStart"/>
      <w:r w:rsidRPr="00FD0B91">
        <w:rPr>
          <w:rFonts w:cs="Arial"/>
        </w:rPr>
        <w:t>Wilk’s</w:t>
      </w:r>
      <w:proofErr w:type="spellEnd"/>
      <w:r w:rsidRPr="00FD0B91">
        <w:rPr>
          <w:rFonts w:cs="Arial"/>
        </w:rPr>
        <w:t xml:space="preserve"> criterion, the combined DVs were significantly related to the covariate (Pretest), </w:t>
      </w:r>
      <w:proofErr w:type="gramStart"/>
      <w:r w:rsidRPr="00FD0B91">
        <w:rPr>
          <w:rFonts w:cs="Arial"/>
          <w:i/>
        </w:rPr>
        <w:t>F</w:t>
      </w:r>
      <w:r w:rsidRPr="00FD0B91">
        <w:rPr>
          <w:rFonts w:cs="Arial"/>
        </w:rPr>
        <w:t>(</w:t>
      </w:r>
      <w:proofErr w:type="gramEnd"/>
      <w:r w:rsidRPr="00FD0B91">
        <w:rPr>
          <w:rFonts w:cs="Arial"/>
        </w:rPr>
        <w:t xml:space="preserve">5, 147) = 42.38 </w:t>
      </w:r>
      <w:r w:rsidRPr="00FD0B91">
        <w:rPr>
          <w:rFonts w:cs="Arial"/>
          <w:i/>
        </w:rPr>
        <w:t>p</w:t>
      </w:r>
      <w:r w:rsidRPr="00FD0B91">
        <w:rPr>
          <w:rFonts w:cs="Arial"/>
        </w:rPr>
        <w:t xml:space="preserve"> &lt; .01, to </w:t>
      </w:r>
      <w:proofErr w:type="spellStart"/>
      <w:r w:rsidRPr="00FD0B91">
        <w:rPr>
          <w:rFonts w:cs="Arial"/>
        </w:rPr>
        <w:t>LearningTool</w:t>
      </w:r>
      <w:proofErr w:type="spellEnd"/>
      <w:r w:rsidRPr="00FD0B91">
        <w:rPr>
          <w:rFonts w:cs="Arial"/>
        </w:rPr>
        <w:t xml:space="preserve">, </w:t>
      </w:r>
      <w:r w:rsidRPr="00FD0B91">
        <w:rPr>
          <w:rFonts w:cs="Arial"/>
          <w:i/>
        </w:rPr>
        <w:t>F</w:t>
      </w:r>
      <w:r w:rsidRPr="00FD0B91">
        <w:rPr>
          <w:rFonts w:cs="Arial"/>
        </w:rPr>
        <w:t xml:space="preserve">(10, 294) = 2.60, </w:t>
      </w:r>
      <w:r w:rsidRPr="00FD0B91">
        <w:rPr>
          <w:rFonts w:cs="Arial"/>
          <w:i/>
        </w:rPr>
        <w:t>p</w:t>
      </w:r>
      <w:r w:rsidRPr="00FD0B91">
        <w:rPr>
          <w:rFonts w:cs="Arial"/>
        </w:rPr>
        <w:t xml:space="preserve"> &lt; .01, </w:t>
      </w:r>
      <w:proofErr w:type="spellStart"/>
      <w:r w:rsidRPr="00FD0B91">
        <w:rPr>
          <w:rFonts w:cs="Arial"/>
        </w:rPr>
        <w:t>LearningStyle</w:t>
      </w:r>
      <w:proofErr w:type="spellEnd"/>
      <w:r w:rsidRPr="00FD0B91">
        <w:rPr>
          <w:rFonts w:cs="Arial"/>
        </w:rPr>
        <w:t xml:space="preserve">, </w:t>
      </w:r>
      <w:r w:rsidRPr="00FD0B91">
        <w:rPr>
          <w:rFonts w:cs="Arial"/>
          <w:i/>
        </w:rPr>
        <w:t>F</w:t>
      </w:r>
      <w:r w:rsidRPr="00FD0B91">
        <w:rPr>
          <w:rFonts w:cs="Arial"/>
        </w:rPr>
        <w:t xml:space="preserve">(15, 406) = 1.02, </w:t>
      </w:r>
      <w:r w:rsidRPr="00FD0B91">
        <w:rPr>
          <w:rFonts w:cs="Arial"/>
          <w:i/>
        </w:rPr>
        <w:t>p</w:t>
      </w:r>
      <w:r w:rsidRPr="00FD0B91">
        <w:rPr>
          <w:rFonts w:cs="Arial"/>
        </w:rPr>
        <w:t xml:space="preserve"> &gt; .05, and to the interaction Learning Tool*</w:t>
      </w:r>
      <w:proofErr w:type="spellStart"/>
      <w:r w:rsidRPr="00FD0B91">
        <w:rPr>
          <w:rFonts w:cs="Arial"/>
        </w:rPr>
        <w:t>LearningStyle</w:t>
      </w:r>
      <w:proofErr w:type="spellEnd"/>
      <w:r w:rsidRPr="00FD0B91">
        <w:rPr>
          <w:rFonts w:cs="Arial"/>
        </w:rPr>
        <w:t xml:space="preserve">, </w:t>
      </w:r>
      <w:r w:rsidRPr="00FD0B91">
        <w:rPr>
          <w:rFonts w:cs="Arial"/>
          <w:i/>
        </w:rPr>
        <w:t>F</w:t>
      </w:r>
      <w:r w:rsidRPr="00FD0B91">
        <w:rPr>
          <w:rFonts w:cs="Arial"/>
        </w:rPr>
        <w:t xml:space="preserve">(30, 590) = 1.83, </w:t>
      </w:r>
      <w:r w:rsidRPr="00FD0B91">
        <w:rPr>
          <w:rFonts w:cs="Arial"/>
          <w:i/>
        </w:rPr>
        <w:t>p</w:t>
      </w:r>
      <w:r w:rsidRPr="00FD0B91">
        <w:rPr>
          <w:rFonts w:cs="Arial"/>
        </w:rPr>
        <w:t xml:space="preserve"> &lt; .01.  </w:t>
      </w:r>
      <w:r w:rsidRPr="00372911">
        <w:t xml:space="preserve">However, the correlation between DVs and </w:t>
      </w:r>
      <w:proofErr w:type="spellStart"/>
      <w:r w:rsidRPr="00372911">
        <w:t>LearningTool</w:t>
      </w:r>
      <w:proofErr w:type="spellEnd"/>
      <w:r w:rsidRPr="00372911">
        <w:t>*</w:t>
      </w:r>
      <w:proofErr w:type="spellStart"/>
      <w:r w:rsidRPr="00372911">
        <w:t>LearningStyle</w:t>
      </w:r>
      <w:proofErr w:type="spellEnd"/>
      <w:r w:rsidRPr="00372911">
        <w:t xml:space="preserve">*Level was not statistically significant, </w:t>
      </w:r>
      <w:proofErr w:type="gramStart"/>
      <w:r w:rsidRPr="00372911">
        <w:t>F(</w:t>
      </w:r>
      <w:proofErr w:type="gramEnd"/>
      <w:r w:rsidRPr="00372911">
        <w:t xml:space="preserve">30, 542) = 1.32, p &gt; .05.  With regards to effect size, there was a moderate association between DVs and covariates, partial η2 = .23, a small association between DVs and </w:t>
      </w:r>
      <w:proofErr w:type="spellStart"/>
      <w:r w:rsidRPr="00372911">
        <w:t>LearningTool</w:t>
      </w:r>
      <w:proofErr w:type="spellEnd"/>
      <w:r w:rsidRPr="00372911">
        <w:t xml:space="preserve">, partial η2 = .07, a small association between DVs and </w:t>
      </w:r>
      <w:proofErr w:type="spellStart"/>
      <w:r w:rsidRPr="00372911">
        <w:t>LearningStyle</w:t>
      </w:r>
      <w:proofErr w:type="spellEnd"/>
      <w:r w:rsidRPr="00372911">
        <w:t xml:space="preserve">, partial η2 = .04, a strong association between DVs and Level, partial η2 = .40, a small association between DVs and </w:t>
      </w:r>
      <w:proofErr w:type="spellStart"/>
      <w:r w:rsidRPr="00372911">
        <w:t>LearningTool</w:t>
      </w:r>
      <w:proofErr w:type="spellEnd"/>
      <w:r w:rsidRPr="00372911">
        <w:t>*</w:t>
      </w:r>
      <w:proofErr w:type="spellStart"/>
      <w:r w:rsidRPr="00372911">
        <w:t>LearningStyle</w:t>
      </w:r>
      <w:proofErr w:type="spellEnd"/>
      <w:r w:rsidRPr="00372911">
        <w:t xml:space="preserve">, partial η2 = .08, a moderate association between DVs and </w:t>
      </w:r>
      <w:proofErr w:type="spellStart"/>
      <w:r w:rsidRPr="00372911">
        <w:t>LearningTool</w:t>
      </w:r>
      <w:proofErr w:type="spellEnd"/>
      <w:r w:rsidRPr="00372911">
        <w:t xml:space="preserve">*Level, partial η2 = .17, a small association between DVs and </w:t>
      </w:r>
      <w:proofErr w:type="spellStart"/>
      <w:r w:rsidRPr="00372911">
        <w:t>LearningStyle</w:t>
      </w:r>
      <w:proofErr w:type="spellEnd"/>
      <w:r w:rsidRPr="00372911">
        <w:t xml:space="preserve">*Level, partial η2 = .10, and a moderate association between DVs and </w:t>
      </w:r>
      <w:proofErr w:type="spellStart"/>
      <w:r w:rsidRPr="00372911">
        <w:t>LearningTool</w:t>
      </w:r>
      <w:proofErr w:type="spellEnd"/>
      <w:r w:rsidRPr="00372911">
        <w:t>*</w:t>
      </w:r>
      <w:proofErr w:type="spellStart"/>
      <w:r w:rsidRPr="00372911">
        <w:t>LearningStyle</w:t>
      </w:r>
      <w:proofErr w:type="spellEnd"/>
      <w:r w:rsidRPr="00372911">
        <w:t>*Level, partial η2 = .16.</w:t>
      </w:r>
      <w:r w:rsidRPr="00FD0B91">
        <w:rPr>
          <w:rFonts w:cs="Arial"/>
        </w:rPr>
        <w:t xml:space="preserve"> </w:t>
      </w:r>
    </w:p>
    <w:p w:rsidR="00372911" w:rsidRDefault="00372911" w:rsidP="00372911">
      <w:pPr>
        <w:rPr>
          <w:rFonts w:cs="Arial"/>
        </w:rPr>
      </w:pPr>
      <w:r w:rsidRPr="00FD0B91">
        <w:rPr>
          <w:rFonts w:cs="Arial"/>
        </w:rPr>
        <w:t xml:space="preserve">Effects of </w:t>
      </w:r>
      <w:proofErr w:type="spellStart"/>
      <w:r w:rsidRPr="00FD0B91">
        <w:rPr>
          <w:rFonts w:cs="Arial"/>
        </w:rPr>
        <w:t>LearningTool</w:t>
      </w:r>
      <w:proofErr w:type="spellEnd"/>
      <w:r w:rsidRPr="00FD0B91">
        <w:rPr>
          <w:rFonts w:cs="Arial"/>
        </w:rPr>
        <w:t xml:space="preserve">, </w:t>
      </w:r>
      <w:proofErr w:type="spellStart"/>
      <w:r w:rsidRPr="00FD0B91">
        <w:rPr>
          <w:rFonts w:cs="Arial"/>
        </w:rPr>
        <w:t>LearningStyle</w:t>
      </w:r>
      <w:proofErr w:type="spellEnd"/>
      <w:r w:rsidRPr="00FD0B91">
        <w:rPr>
          <w:rFonts w:cs="Arial"/>
        </w:rPr>
        <w:t xml:space="preserve">, and Level on the DVs after adjustment for Pretest were investigated in </w:t>
      </w:r>
      <w:proofErr w:type="spellStart"/>
      <w:r w:rsidRPr="00FD0B91">
        <w:rPr>
          <w:rFonts w:cs="Arial"/>
        </w:rPr>
        <w:t>univariate</w:t>
      </w:r>
      <w:proofErr w:type="spellEnd"/>
      <w:r w:rsidRPr="00FD0B91">
        <w:rPr>
          <w:rFonts w:cs="Arial"/>
        </w:rPr>
        <w:t xml:space="preserve"> and Roy-</w:t>
      </w:r>
      <w:proofErr w:type="spellStart"/>
      <w:r w:rsidRPr="00FD0B91">
        <w:rPr>
          <w:rFonts w:cs="Arial"/>
        </w:rPr>
        <w:t>Bargmann</w:t>
      </w:r>
      <w:proofErr w:type="spellEnd"/>
      <w:r w:rsidRPr="00FD0B91">
        <w:rPr>
          <w:rFonts w:cs="Arial"/>
        </w:rPr>
        <w:t xml:space="preserve"> </w:t>
      </w:r>
      <w:proofErr w:type="spellStart"/>
      <w:r w:rsidRPr="00FD0B91">
        <w:rPr>
          <w:rFonts w:cs="Arial"/>
        </w:rPr>
        <w:t>stepdown</w:t>
      </w:r>
      <w:proofErr w:type="spellEnd"/>
      <w:r w:rsidRPr="00FD0B91">
        <w:rPr>
          <w:rFonts w:cs="Arial"/>
        </w:rPr>
        <w:t xml:space="preserve"> analysis, in which Posttest was given the highest priority followed by Apply, Analyze, Evaluate, and Create, entered in that order.  Homogeneity of regression was satisfactory for this analysis.  Results are summarized in </w:t>
      </w:r>
      <w:r>
        <w:rPr>
          <w:rFonts w:cs="Arial"/>
        </w:rPr>
        <w:t>T</w:t>
      </w:r>
      <w:r w:rsidRPr="00FD0B91">
        <w:rPr>
          <w:rFonts w:cs="Arial"/>
        </w:rPr>
        <w:t xml:space="preserve">able </w:t>
      </w:r>
      <w:r>
        <w:rPr>
          <w:rFonts w:cs="Arial"/>
        </w:rPr>
        <w:t>2</w:t>
      </w:r>
      <w:r w:rsidRPr="00FD0B91">
        <w:rPr>
          <w:rFonts w:cs="Arial"/>
        </w:rPr>
        <w:t xml:space="preserve">.  An </w:t>
      </w:r>
      <w:proofErr w:type="spellStart"/>
      <w:r w:rsidRPr="00FD0B91">
        <w:rPr>
          <w:rFonts w:cs="Arial"/>
        </w:rPr>
        <w:t>experimentwi</w:t>
      </w:r>
      <w:r w:rsidR="00BE2BB0">
        <w:rPr>
          <w:rFonts w:cs="Arial"/>
        </w:rPr>
        <w:t>d</w:t>
      </w:r>
      <w:r w:rsidRPr="00FD0B91">
        <w:rPr>
          <w:rFonts w:cs="Arial"/>
        </w:rPr>
        <w:t>e</w:t>
      </w:r>
      <w:proofErr w:type="spellEnd"/>
      <w:r w:rsidRPr="00FD0B91">
        <w:rPr>
          <w:rFonts w:cs="Arial"/>
        </w:rPr>
        <w:t xml:space="preserve"> error rate of 5% for each effect was achieved by apportioning alpha according to the values shown in the column labeled “alpha” of the table.</w:t>
      </w:r>
    </w:p>
    <w:p w:rsidR="00372911" w:rsidRDefault="00372911" w:rsidP="00372911">
      <w:pPr>
        <w:pStyle w:val="Heading5"/>
      </w:pPr>
      <w:r w:rsidRPr="00FD0B91">
        <w:t xml:space="preserve">Table </w:t>
      </w:r>
      <w:r>
        <w:t>2</w:t>
      </w:r>
    </w:p>
    <w:p w:rsidR="00372911" w:rsidRPr="00FD0B91" w:rsidRDefault="00372911" w:rsidP="00372911">
      <w:pPr>
        <w:pStyle w:val="Heading5"/>
      </w:pPr>
      <w:r w:rsidRPr="00FD0B91">
        <w:t xml:space="preserve">MANCOVA Results: Tests of Covariate (Pretest), </w:t>
      </w:r>
      <w:r>
        <w:br/>
      </w:r>
      <w:proofErr w:type="spellStart"/>
      <w:r w:rsidRPr="00FD0B91">
        <w:t>LearningTool</w:t>
      </w:r>
      <w:proofErr w:type="spellEnd"/>
      <w:r w:rsidRPr="00FD0B91">
        <w:t xml:space="preserve">, </w:t>
      </w:r>
      <w:proofErr w:type="spellStart"/>
      <w:r w:rsidRPr="00FD0B91">
        <w:t>LearningStyle</w:t>
      </w:r>
      <w:proofErr w:type="spellEnd"/>
      <w:r w:rsidRPr="00FD0B91">
        <w:t xml:space="preserve"> and Interaction</w:t>
      </w:r>
    </w:p>
    <w:tbl>
      <w:tblPr>
        <w:tblW w:w="8640"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458"/>
        <w:gridCol w:w="90"/>
        <w:gridCol w:w="1386"/>
        <w:gridCol w:w="144"/>
        <w:gridCol w:w="1052"/>
        <w:gridCol w:w="803"/>
        <w:gridCol w:w="1115"/>
        <w:gridCol w:w="916"/>
        <w:gridCol w:w="794"/>
        <w:gridCol w:w="882"/>
      </w:tblGrid>
      <w:tr w:rsidR="00372911" w:rsidRPr="00FD0B91" w:rsidTr="00372911">
        <w:tc>
          <w:tcPr>
            <w:tcW w:w="1458" w:type="dxa"/>
            <w:tcBorders>
              <w:bottom w:val="single" w:sz="6" w:space="0" w:color="008000"/>
            </w:tcBorders>
            <w:vAlign w:val="center"/>
          </w:tcPr>
          <w:p w:rsidR="00372911" w:rsidRPr="00FD0B91" w:rsidRDefault="00372911" w:rsidP="004077CD">
            <w:pPr>
              <w:spacing w:after="60"/>
              <w:jc w:val="center"/>
              <w:rPr>
                <w:i/>
                <w:iCs/>
              </w:rPr>
            </w:pPr>
            <w:r w:rsidRPr="00FD0B91">
              <w:rPr>
                <w:i/>
                <w:iCs/>
              </w:rPr>
              <w:t>IV</w:t>
            </w:r>
          </w:p>
        </w:tc>
        <w:tc>
          <w:tcPr>
            <w:tcW w:w="1476" w:type="dxa"/>
            <w:gridSpan w:val="2"/>
            <w:tcBorders>
              <w:bottom w:val="single" w:sz="6" w:space="0" w:color="008000"/>
            </w:tcBorders>
            <w:vAlign w:val="center"/>
          </w:tcPr>
          <w:p w:rsidR="00372911" w:rsidRPr="00FD0B91" w:rsidRDefault="00372911" w:rsidP="004077CD">
            <w:pPr>
              <w:spacing w:after="60"/>
              <w:jc w:val="center"/>
              <w:rPr>
                <w:i/>
                <w:iCs/>
              </w:rPr>
            </w:pPr>
            <w:r w:rsidRPr="00FD0B91">
              <w:rPr>
                <w:i/>
                <w:iCs/>
              </w:rPr>
              <w:t>DV</w:t>
            </w:r>
          </w:p>
        </w:tc>
        <w:tc>
          <w:tcPr>
            <w:tcW w:w="1196" w:type="dxa"/>
            <w:gridSpan w:val="2"/>
            <w:tcBorders>
              <w:bottom w:val="single" w:sz="6" w:space="0" w:color="008000"/>
            </w:tcBorders>
            <w:vAlign w:val="center"/>
          </w:tcPr>
          <w:p w:rsidR="00372911" w:rsidRPr="00FD0B91" w:rsidRDefault="00372911" w:rsidP="004077CD">
            <w:pPr>
              <w:spacing w:after="60"/>
              <w:jc w:val="center"/>
              <w:rPr>
                <w:i/>
                <w:iCs/>
              </w:rPr>
            </w:pPr>
            <w:proofErr w:type="spellStart"/>
            <w:r w:rsidRPr="00FD0B91">
              <w:rPr>
                <w:i/>
                <w:iCs/>
              </w:rPr>
              <w:t>Univariate</w:t>
            </w:r>
            <w:proofErr w:type="spellEnd"/>
            <w:r w:rsidRPr="00FD0B91">
              <w:rPr>
                <w:i/>
                <w:iCs/>
              </w:rPr>
              <w:t xml:space="preserve"> F</w:t>
            </w:r>
          </w:p>
        </w:tc>
        <w:tc>
          <w:tcPr>
            <w:tcW w:w="803" w:type="dxa"/>
            <w:tcBorders>
              <w:bottom w:val="single" w:sz="6" w:space="0" w:color="008000"/>
            </w:tcBorders>
            <w:vAlign w:val="center"/>
          </w:tcPr>
          <w:p w:rsidR="00372911" w:rsidRPr="00FD0B91" w:rsidRDefault="00372911" w:rsidP="004077CD">
            <w:pPr>
              <w:spacing w:after="60"/>
              <w:jc w:val="center"/>
              <w:rPr>
                <w:i/>
                <w:iCs/>
              </w:rPr>
            </w:pPr>
            <w:proofErr w:type="spellStart"/>
            <w:r w:rsidRPr="00FD0B91">
              <w:rPr>
                <w:i/>
                <w:iCs/>
              </w:rPr>
              <w:t>df</w:t>
            </w:r>
            <w:proofErr w:type="spellEnd"/>
          </w:p>
        </w:tc>
        <w:tc>
          <w:tcPr>
            <w:tcW w:w="1115" w:type="dxa"/>
            <w:tcBorders>
              <w:bottom w:val="single" w:sz="6" w:space="0" w:color="008000"/>
            </w:tcBorders>
            <w:vAlign w:val="center"/>
          </w:tcPr>
          <w:p w:rsidR="00372911" w:rsidRPr="00FD0B91" w:rsidRDefault="00372911" w:rsidP="004077CD">
            <w:pPr>
              <w:spacing w:after="60"/>
              <w:jc w:val="center"/>
              <w:rPr>
                <w:i/>
                <w:iCs/>
              </w:rPr>
            </w:pPr>
            <w:proofErr w:type="spellStart"/>
            <w:r w:rsidRPr="00FD0B91">
              <w:rPr>
                <w:i/>
                <w:iCs/>
              </w:rPr>
              <w:t>Stepdown</w:t>
            </w:r>
            <w:proofErr w:type="spellEnd"/>
            <w:r w:rsidRPr="00FD0B91">
              <w:rPr>
                <w:i/>
                <w:iCs/>
              </w:rPr>
              <w:t xml:space="preserve"> F</w:t>
            </w:r>
          </w:p>
        </w:tc>
        <w:tc>
          <w:tcPr>
            <w:tcW w:w="916" w:type="dxa"/>
            <w:tcBorders>
              <w:bottom w:val="single" w:sz="6" w:space="0" w:color="008000"/>
            </w:tcBorders>
            <w:vAlign w:val="center"/>
          </w:tcPr>
          <w:p w:rsidR="00372911" w:rsidRPr="00FD0B91" w:rsidRDefault="00372911" w:rsidP="004077CD">
            <w:pPr>
              <w:spacing w:after="60"/>
              <w:jc w:val="center"/>
              <w:rPr>
                <w:i/>
                <w:iCs/>
              </w:rPr>
            </w:pPr>
            <w:proofErr w:type="spellStart"/>
            <w:r w:rsidRPr="00FD0B91">
              <w:rPr>
                <w:i/>
                <w:iCs/>
              </w:rPr>
              <w:t>df</w:t>
            </w:r>
            <w:proofErr w:type="spellEnd"/>
          </w:p>
        </w:tc>
        <w:tc>
          <w:tcPr>
            <w:tcW w:w="794" w:type="dxa"/>
            <w:tcBorders>
              <w:bottom w:val="single" w:sz="6" w:space="0" w:color="008000"/>
            </w:tcBorders>
            <w:vAlign w:val="center"/>
          </w:tcPr>
          <w:p w:rsidR="00372911" w:rsidRPr="00FD0B91" w:rsidRDefault="00372911" w:rsidP="004077CD">
            <w:pPr>
              <w:spacing w:after="60"/>
              <w:jc w:val="center"/>
              <w:rPr>
                <w:i/>
                <w:iCs/>
              </w:rPr>
            </w:pPr>
            <w:r w:rsidRPr="00FD0B91">
              <w:rPr>
                <w:i/>
                <w:iCs/>
              </w:rPr>
              <w:t>Alpha</w:t>
            </w:r>
          </w:p>
        </w:tc>
        <w:tc>
          <w:tcPr>
            <w:tcW w:w="882" w:type="dxa"/>
            <w:tcBorders>
              <w:bottom w:val="single" w:sz="6" w:space="0" w:color="008000"/>
            </w:tcBorders>
            <w:vAlign w:val="center"/>
          </w:tcPr>
          <w:p w:rsidR="00372911" w:rsidRPr="00FD0B91" w:rsidRDefault="00372911" w:rsidP="004077CD">
            <w:pPr>
              <w:spacing w:after="60"/>
              <w:jc w:val="center"/>
              <w:rPr>
                <w:i/>
                <w:iCs/>
              </w:rPr>
            </w:pPr>
            <w:r w:rsidRPr="00FD0B91">
              <w:rPr>
                <w:i/>
                <w:iCs/>
              </w:rPr>
              <w:t>Partial</w:t>
            </w:r>
            <w:r>
              <w:rPr>
                <w:i/>
                <w:iCs/>
              </w:rPr>
              <w:br/>
            </w:r>
            <w:r w:rsidRPr="00FD0B91">
              <w:rPr>
                <w:bCs/>
                <w:sz w:val="26"/>
                <w:szCs w:val="26"/>
              </w:rPr>
              <w:t>η</w:t>
            </w:r>
            <w:r w:rsidRPr="00FD0B91">
              <w:rPr>
                <w:sz w:val="26"/>
                <w:szCs w:val="26"/>
                <w:vertAlign w:val="superscript"/>
              </w:rPr>
              <w:t>2</w:t>
            </w:r>
          </w:p>
        </w:tc>
      </w:tr>
      <w:tr w:rsidR="00372911" w:rsidRPr="00FD0B91" w:rsidTr="00372911">
        <w:tc>
          <w:tcPr>
            <w:tcW w:w="1548" w:type="dxa"/>
            <w:gridSpan w:val="2"/>
            <w:tcBorders>
              <w:top w:val="single" w:sz="6" w:space="0" w:color="008000"/>
            </w:tcBorders>
          </w:tcPr>
          <w:p w:rsidR="00372911" w:rsidRPr="00FD0B91" w:rsidRDefault="00372911" w:rsidP="00372911">
            <w:r w:rsidRPr="00FD0B91">
              <w:t xml:space="preserve">Covariate: </w:t>
            </w:r>
          </w:p>
        </w:tc>
        <w:tc>
          <w:tcPr>
            <w:tcW w:w="1530" w:type="dxa"/>
            <w:gridSpan w:val="2"/>
            <w:tcBorders>
              <w:top w:val="single" w:sz="6" w:space="0" w:color="008000"/>
            </w:tcBorders>
          </w:tcPr>
          <w:p w:rsidR="00372911" w:rsidRPr="00FD0B91" w:rsidRDefault="00372911" w:rsidP="00372911">
            <w:r w:rsidRPr="00FD0B91">
              <w:t>POSTTEST</w:t>
            </w:r>
          </w:p>
        </w:tc>
        <w:tc>
          <w:tcPr>
            <w:tcW w:w="1052" w:type="dxa"/>
            <w:tcBorders>
              <w:top w:val="single" w:sz="6" w:space="0" w:color="008000"/>
            </w:tcBorders>
          </w:tcPr>
          <w:p w:rsidR="00372911" w:rsidRPr="00FD0B91" w:rsidRDefault="00372911" w:rsidP="00372911">
            <w:r w:rsidRPr="00FD0B91">
              <w:t>206.20**</w:t>
            </w:r>
          </w:p>
        </w:tc>
        <w:tc>
          <w:tcPr>
            <w:tcW w:w="803" w:type="dxa"/>
            <w:tcBorders>
              <w:top w:val="single" w:sz="6" w:space="0" w:color="008000"/>
            </w:tcBorders>
          </w:tcPr>
          <w:p w:rsidR="00372911" w:rsidRPr="00FD0B91" w:rsidRDefault="00372911" w:rsidP="00372911">
            <w:r w:rsidRPr="00FD0B91">
              <w:t>1/151</w:t>
            </w:r>
          </w:p>
        </w:tc>
        <w:tc>
          <w:tcPr>
            <w:tcW w:w="1115" w:type="dxa"/>
            <w:tcBorders>
              <w:top w:val="single" w:sz="6" w:space="0" w:color="008000"/>
            </w:tcBorders>
          </w:tcPr>
          <w:p w:rsidR="00372911" w:rsidRPr="00FD0B91" w:rsidRDefault="00372911" w:rsidP="00372911">
            <w:r w:rsidRPr="00FD0B91">
              <w:t>206.20**</w:t>
            </w:r>
          </w:p>
        </w:tc>
        <w:tc>
          <w:tcPr>
            <w:tcW w:w="916" w:type="dxa"/>
            <w:tcBorders>
              <w:top w:val="single" w:sz="6" w:space="0" w:color="008000"/>
            </w:tcBorders>
          </w:tcPr>
          <w:p w:rsidR="00372911" w:rsidRPr="00FD0B91" w:rsidRDefault="00372911" w:rsidP="00372911">
            <w:r w:rsidRPr="00FD0B91">
              <w:t>1/151</w:t>
            </w:r>
          </w:p>
        </w:tc>
        <w:tc>
          <w:tcPr>
            <w:tcW w:w="794" w:type="dxa"/>
            <w:tcBorders>
              <w:top w:val="single" w:sz="6" w:space="0" w:color="008000"/>
            </w:tcBorders>
          </w:tcPr>
          <w:p w:rsidR="00372911" w:rsidRPr="00FD0B91" w:rsidRDefault="00372911" w:rsidP="00372911">
            <w:r w:rsidRPr="00FD0B91">
              <w:t>.01</w:t>
            </w:r>
          </w:p>
        </w:tc>
        <w:tc>
          <w:tcPr>
            <w:tcW w:w="882" w:type="dxa"/>
            <w:tcBorders>
              <w:top w:val="single" w:sz="6" w:space="0" w:color="008000"/>
            </w:tcBorders>
          </w:tcPr>
          <w:p w:rsidR="00372911" w:rsidRPr="00FD0B91" w:rsidRDefault="00372911" w:rsidP="00372911">
            <w:r w:rsidRPr="00FD0B91">
              <w:t>.62</w:t>
            </w:r>
          </w:p>
        </w:tc>
      </w:tr>
      <w:tr w:rsidR="00372911" w:rsidRPr="00FD0B91" w:rsidTr="00372911">
        <w:tc>
          <w:tcPr>
            <w:tcW w:w="1548" w:type="dxa"/>
            <w:gridSpan w:val="2"/>
          </w:tcPr>
          <w:p w:rsidR="00372911" w:rsidRPr="00FD0B91" w:rsidRDefault="00372911" w:rsidP="00372911">
            <w:r w:rsidRPr="00FD0B91">
              <w:t>Pretest</w:t>
            </w:r>
          </w:p>
        </w:tc>
        <w:tc>
          <w:tcPr>
            <w:tcW w:w="1530" w:type="dxa"/>
            <w:gridSpan w:val="2"/>
          </w:tcPr>
          <w:p w:rsidR="00372911" w:rsidRPr="00FD0B91" w:rsidRDefault="00372911" w:rsidP="00372911">
            <w:r w:rsidRPr="00FD0B91">
              <w:t>APPLY</w:t>
            </w:r>
          </w:p>
        </w:tc>
        <w:tc>
          <w:tcPr>
            <w:tcW w:w="1052" w:type="dxa"/>
          </w:tcPr>
          <w:p w:rsidR="00372911" w:rsidRPr="00FD0B91" w:rsidRDefault="00372911" w:rsidP="00372911">
            <w:r w:rsidRPr="00FD0B91">
              <w:t>93.29**</w:t>
            </w:r>
          </w:p>
        </w:tc>
        <w:tc>
          <w:tcPr>
            <w:tcW w:w="803" w:type="dxa"/>
          </w:tcPr>
          <w:p w:rsidR="00372911" w:rsidRPr="00FD0B91" w:rsidRDefault="00372911" w:rsidP="00372911">
            <w:r w:rsidRPr="00FD0B91">
              <w:t>1/151</w:t>
            </w:r>
          </w:p>
        </w:tc>
        <w:tc>
          <w:tcPr>
            <w:tcW w:w="1115" w:type="dxa"/>
          </w:tcPr>
          <w:p w:rsidR="00372911" w:rsidRPr="00FD0B91" w:rsidRDefault="00372911" w:rsidP="00372911">
            <w:r w:rsidRPr="00FD0B91">
              <w:t>0.12</w:t>
            </w:r>
          </w:p>
        </w:tc>
        <w:tc>
          <w:tcPr>
            <w:tcW w:w="916" w:type="dxa"/>
          </w:tcPr>
          <w:p w:rsidR="00372911" w:rsidRPr="00FD0B91" w:rsidRDefault="00372911" w:rsidP="00372911">
            <w:r w:rsidRPr="00FD0B91">
              <w:t>1/150</w:t>
            </w:r>
          </w:p>
        </w:tc>
        <w:tc>
          <w:tcPr>
            <w:tcW w:w="794" w:type="dxa"/>
          </w:tcPr>
          <w:p w:rsidR="00372911" w:rsidRPr="00FD0B91" w:rsidRDefault="00372911" w:rsidP="00372911">
            <w:r w:rsidRPr="00FD0B91">
              <w:t>.01</w:t>
            </w:r>
          </w:p>
        </w:tc>
        <w:tc>
          <w:tcPr>
            <w:tcW w:w="882" w:type="dxa"/>
          </w:tcPr>
          <w:p w:rsidR="00372911" w:rsidRPr="00FD0B91" w:rsidRDefault="00372911" w:rsidP="00372911">
            <w:r w:rsidRPr="00FD0B91">
              <w:t>.41</w:t>
            </w:r>
          </w:p>
        </w:tc>
      </w:tr>
      <w:tr w:rsidR="00372911" w:rsidRPr="00FD0B91" w:rsidTr="00372911">
        <w:tc>
          <w:tcPr>
            <w:tcW w:w="1548" w:type="dxa"/>
            <w:gridSpan w:val="2"/>
          </w:tcPr>
          <w:p w:rsidR="00372911" w:rsidRPr="00FD0B91" w:rsidRDefault="00372911" w:rsidP="00372911"/>
        </w:tc>
        <w:tc>
          <w:tcPr>
            <w:tcW w:w="1530" w:type="dxa"/>
            <w:gridSpan w:val="2"/>
          </w:tcPr>
          <w:p w:rsidR="00372911" w:rsidRPr="00FD0B91" w:rsidRDefault="00372911" w:rsidP="00372911">
            <w:r w:rsidRPr="00FD0B91">
              <w:t>ANALYZE</w:t>
            </w:r>
          </w:p>
        </w:tc>
        <w:tc>
          <w:tcPr>
            <w:tcW w:w="1052" w:type="dxa"/>
          </w:tcPr>
          <w:p w:rsidR="00372911" w:rsidRPr="00FD0B91" w:rsidRDefault="00372911" w:rsidP="00372911">
            <w:r w:rsidRPr="00FD0B91">
              <w:t>60.20**</w:t>
            </w:r>
          </w:p>
        </w:tc>
        <w:tc>
          <w:tcPr>
            <w:tcW w:w="803" w:type="dxa"/>
          </w:tcPr>
          <w:p w:rsidR="00372911" w:rsidRPr="00FD0B91" w:rsidRDefault="00372911" w:rsidP="00372911">
            <w:r w:rsidRPr="00FD0B91">
              <w:t>1/151</w:t>
            </w:r>
          </w:p>
        </w:tc>
        <w:tc>
          <w:tcPr>
            <w:tcW w:w="1115" w:type="dxa"/>
          </w:tcPr>
          <w:p w:rsidR="00372911" w:rsidRPr="00FD0B91" w:rsidRDefault="00372911" w:rsidP="00372911">
            <w:r w:rsidRPr="00FD0B91">
              <w:t>3.05</w:t>
            </w:r>
          </w:p>
        </w:tc>
        <w:tc>
          <w:tcPr>
            <w:tcW w:w="916" w:type="dxa"/>
          </w:tcPr>
          <w:p w:rsidR="00372911" w:rsidRPr="00FD0B91" w:rsidRDefault="00372911" w:rsidP="00372911">
            <w:r w:rsidRPr="00FD0B91">
              <w:t>1/149</w:t>
            </w:r>
          </w:p>
        </w:tc>
        <w:tc>
          <w:tcPr>
            <w:tcW w:w="794" w:type="dxa"/>
          </w:tcPr>
          <w:p w:rsidR="00372911" w:rsidRPr="00FD0B91" w:rsidRDefault="00372911" w:rsidP="00372911">
            <w:r w:rsidRPr="00FD0B91">
              <w:t>.01</w:t>
            </w:r>
          </w:p>
        </w:tc>
        <w:tc>
          <w:tcPr>
            <w:tcW w:w="882" w:type="dxa"/>
          </w:tcPr>
          <w:p w:rsidR="00372911" w:rsidRPr="00FD0B91" w:rsidRDefault="00372911" w:rsidP="00372911">
            <w:r w:rsidRPr="00FD0B91">
              <w:t>.34</w:t>
            </w:r>
          </w:p>
        </w:tc>
      </w:tr>
      <w:tr w:rsidR="00372911" w:rsidRPr="00FD0B91" w:rsidTr="00372911">
        <w:tc>
          <w:tcPr>
            <w:tcW w:w="1548" w:type="dxa"/>
            <w:gridSpan w:val="2"/>
          </w:tcPr>
          <w:p w:rsidR="00372911" w:rsidRPr="00FD0B91" w:rsidRDefault="00372911" w:rsidP="00372911"/>
        </w:tc>
        <w:tc>
          <w:tcPr>
            <w:tcW w:w="1530" w:type="dxa"/>
            <w:gridSpan w:val="2"/>
          </w:tcPr>
          <w:p w:rsidR="00372911" w:rsidRPr="00FD0B91" w:rsidRDefault="00372911" w:rsidP="00372911">
            <w:r w:rsidRPr="00FD0B91">
              <w:t>EVALUATE</w:t>
            </w:r>
          </w:p>
        </w:tc>
        <w:tc>
          <w:tcPr>
            <w:tcW w:w="1052" w:type="dxa"/>
          </w:tcPr>
          <w:p w:rsidR="00372911" w:rsidRPr="00FD0B91" w:rsidRDefault="00372911" w:rsidP="00372911">
            <w:r w:rsidRPr="00FD0B91">
              <w:t>64.37**</w:t>
            </w:r>
          </w:p>
        </w:tc>
        <w:tc>
          <w:tcPr>
            <w:tcW w:w="803" w:type="dxa"/>
          </w:tcPr>
          <w:p w:rsidR="00372911" w:rsidRPr="00FD0B91" w:rsidRDefault="00372911" w:rsidP="00372911">
            <w:r w:rsidRPr="00FD0B91">
              <w:t>1/151</w:t>
            </w:r>
          </w:p>
        </w:tc>
        <w:tc>
          <w:tcPr>
            <w:tcW w:w="1115" w:type="dxa"/>
          </w:tcPr>
          <w:p w:rsidR="00372911" w:rsidRPr="00FD0B91" w:rsidRDefault="00372911" w:rsidP="00372911">
            <w:r w:rsidRPr="00FD0B91">
              <w:t>0.16</w:t>
            </w:r>
          </w:p>
        </w:tc>
        <w:tc>
          <w:tcPr>
            <w:tcW w:w="916" w:type="dxa"/>
          </w:tcPr>
          <w:p w:rsidR="00372911" w:rsidRPr="00FD0B91" w:rsidRDefault="00372911" w:rsidP="00372911">
            <w:r w:rsidRPr="00FD0B91">
              <w:t>1/148</w:t>
            </w:r>
          </w:p>
        </w:tc>
        <w:tc>
          <w:tcPr>
            <w:tcW w:w="794" w:type="dxa"/>
          </w:tcPr>
          <w:p w:rsidR="00372911" w:rsidRPr="00FD0B91" w:rsidRDefault="00372911" w:rsidP="00372911">
            <w:r w:rsidRPr="00FD0B91">
              <w:t>.01</w:t>
            </w:r>
          </w:p>
        </w:tc>
        <w:tc>
          <w:tcPr>
            <w:tcW w:w="882" w:type="dxa"/>
          </w:tcPr>
          <w:p w:rsidR="00372911" w:rsidRPr="00FD0B91" w:rsidRDefault="00372911" w:rsidP="00372911">
            <w:r w:rsidRPr="00FD0B91">
              <w:t>.35</w:t>
            </w:r>
          </w:p>
        </w:tc>
      </w:tr>
      <w:tr w:rsidR="00372911" w:rsidRPr="00FD0B91" w:rsidTr="00372911">
        <w:tc>
          <w:tcPr>
            <w:tcW w:w="1548" w:type="dxa"/>
            <w:gridSpan w:val="2"/>
          </w:tcPr>
          <w:p w:rsidR="00372911" w:rsidRPr="00FD0B91" w:rsidRDefault="00372911" w:rsidP="00372911"/>
        </w:tc>
        <w:tc>
          <w:tcPr>
            <w:tcW w:w="1530" w:type="dxa"/>
            <w:gridSpan w:val="2"/>
          </w:tcPr>
          <w:p w:rsidR="00372911" w:rsidRPr="00FD0B91" w:rsidRDefault="00372911" w:rsidP="00372911">
            <w:r w:rsidRPr="00FD0B91">
              <w:t>CREATE</w:t>
            </w:r>
          </w:p>
        </w:tc>
        <w:tc>
          <w:tcPr>
            <w:tcW w:w="1052" w:type="dxa"/>
          </w:tcPr>
          <w:p w:rsidR="00372911" w:rsidRPr="00FD0B91" w:rsidRDefault="00372911" w:rsidP="00372911">
            <w:r w:rsidRPr="00FD0B91">
              <w:t>69.67**</w:t>
            </w:r>
          </w:p>
        </w:tc>
        <w:tc>
          <w:tcPr>
            <w:tcW w:w="803" w:type="dxa"/>
          </w:tcPr>
          <w:p w:rsidR="00372911" w:rsidRPr="00FD0B91" w:rsidRDefault="00372911" w:rsidP="00372911">
            <w:r w:rsidRPr="00FD0B91">
              <w:t>1/151</w:t>
            </w:r>
          </w:p>
        </w:tc>
        <w:tc>
          <w:tcPr>
            <w:tcW w:w="1115" w:type="dxa"/>
          </w:tcPr>
          <w:p w:rsidR="00372911" w:rsidRPr="00FD0B91" w:rsidRDefault="00372911" w:rsidP="00372911">
            <w:r w:rsidRPr="00FD0B91">
              <w:t>1.40</w:t>
            </w:r>
          </w:p>
        </w:tc>
        <w:tc>
          <w:tcPr>
            <w:tcW w:w="916" w:type="dxa"/>
          </w:tcPr>
          <w:p w:rsidR="00372911" w:rsidRPr="00FD0B91" w:rsidRDefault="00372911" w:rsidP="00372911">
            <w:r w:rsidRPr="00FD0B91">
              <w:t>1/147</w:t>
            </w:r>
          </w:p>
        </w:tc>
        <w:tc>
          <w:tcPr>
            <w:tcW w:w="794" w:type="dxa"/>
          </w:tcPr>
          <w:p w:rsidR="00372911" w:rsidRPr="00FD0B91" w:rsidRDefault="00372911" w:rsidP="00372911">
            <w:r w:rsidRPr="00FD0B91">
              <w:t>.001</w:t>
            </w:r>
          </w:p>
        </w:tc>
        <w:tc>
          <w:tcPr>
            <w:tcW w:w="882" w:type="dxa"/>
          </w:tcPr>
          <w:p w:rsidR="00372911" w:rsidRPr="00FD0B91" w:rsidRDefault="00372911" w:rsidP="00372911">
            <w:r w:rsidRPr="00FD0B91">
              <w:t>.36</w:t>
            </w:r>
          </w:p>
        </w:tc>
      </w:tr>
      <w:tr w:rsidR="00372911" w:rsidRPr="00FD0B91" w:rsidTr="00372911">
        <w:tc>
          <w:tcPr>
            <w:tcW w:w="1548" w:type="dxa"/>
            <w:gridSpan w:val="2"/>
          </w:tcPr>
          <w:p w:rsidR="00372911" w:rsidRPr="00FD0B91" w:rsidRDefault="00372911" w:rsidP="00372911">
            <w:proofErr w:type="spellStart"/>
            <w:r w:rsidRPr="00FD0B91">
              <w:t>LearningTool</w:t>
            </w:r>
            <w:proofErr w:type="spellEnd"/>
          </w:p>
        </w:tc>
        <w:tc>
          <w:tcPr>
            <w:tcW w:w="1530" w:type="dxa"/>
            <w:gridSpan w:val="2"/>
          </w:tcPr>
          <w:p w:rsidR="00372911" w:rsidRPr="00FD0B91" w:rsidRDefault="00372911" w:rsidP="00372911">
            <w:r w:rsidRPr="00FD0B91">
              <w:t>POSTTEST</w:t>
            </w:r>
          </w:p>
        </w:tc>
        <w:tc>
          <w:tcPr>
            <w:tcW w:w="1052" w:type="dxa"/>
          </w:tcPr>
          <w:p w:rsidR="00372911" w:rsidRPr="00FD0B91" w:rsidRDefault="00372911" w:rsidP="00372911">
            <w:r w:rsidRPr="00FD0B91">
              <w:t>8.97**</w:t>
            </w:r>
          </w:p>
        </w:tc>
        <w:tc>
          <w:tcPr>
            <w:tcW w:w="803" w:type="dxa"/>
          </w:tcPr>
          <w:p w:rsidR="00372911" w:rsidRPr="00FD0B91" w:rsidRDefault="00372911" w:rsidP="00372911">
            <w:r w:rsidRPr="00FD0B91">
              <w:t>2/151</w:t>
            </w:r>
          </w:p>
        </w:tc>
        <w:tc>
          <w:tcPr>
            <w:tcW w:w="1115" w:type="dxa"/>
          </w:tcPr>
          <w:p w:rsidR="00372911" w:rsidRPr="00FD0B91" w:rsidRDefault="00372911" w:rsidP="00372911">
            <w:r w:rsidRPr="00FD0B91">
              <w:t>8.97**</w:t>
            </w:r>
          </w:p>
        </w:tc>
        <w:tc>
          <w:tcPr>
            <w:tcW w:w="916" w:type="dxa"/>
          </w:tcPr>
          <w:p w:rsidR="00372911" w:rsidRPr="00FD0B91" w:rsidRDefault="00372911" w:rsidP="00372911">
            <w:r w:rsidRPr="00FD0B91">
              <w:t>2/151</w:t>
            </w:r>
          </w:p>
        </w:tc>
        <w:tc>
          <w:tcPr>
            <w:tcW w:w="794" w:type="dxa"/>
          </w:tcPr>
          <w:p w:rsidR="00372911" w:rsidRPr="00FD0B91" w:rsidRDefault="00372911" w:rsidP="00372911">
            <w:r w:rsidRPr="00FD0B91">
              <w:t>.01</w:t>
            </w:r>
          </w:p>
        </w:tc>
        <w:tc>
          <w:tcPr>
            <w:tcW w:w="882" w:type="dxa"/>
          </w:tcPr>
          <w:p w:rsidR="00372911" w:rsidRPr="00FD0B91" w:rsidRDefault="00372911" w:rsidP="00372911">
            <w:r w:rsidRPr="00FD0B91">
              <w:t>.09</w:t>
            </w:r>
          </w:p>
        </w:tc>
      </w:tr>
      <w:tr w:rsidR="00372911" w:rsidRPr="00FD0B91" w:rsidTr="00372911">
        <w:tc>
          <w:tcPr>
            <w:tcW w:w="1548" w:type="dxa"/>
            <w:gridSpan w:val="2"/>
          </w:tcPr>
          <w:p w:rsidR="00372911" w:rsidRPr="00FD0B91" w:rsidRDefault="00372911" w:rsidP="00372911"/>
        </w:tc>
        <w:tc>
          <w:tcPr>
            <w:tcW w:w="1530" w:type="dxa"/>
            <w:gridSpan w:val="2"/>
          </w:tcPr>
          <w:p w:rsidR="00372911" w:rsidRPr="00FD0B91" w:rsidRDefault="00372911" w:rsidP="00372911">
            <w:r w:rsidRPr="00FD0B91">
              <w:t>APPLY</w:t>
            </w:r>
          </w:p>
        </w:tc>
        <w:tc>
          <w:tcPr>
            <w:tcW w:w="1052" w:type="dxa"/>
          </w:tcPr>
          <w:p w:rsidR="00372911" w:rsidRPr="00FD0B91" w:rsidRDefault="00372911" w:rsidP="00372911">
            <w:r w:rsidRPr="00FD0B91">
              <w:t>5.56**</w:t>
            </w:r>
          </w:p>
        </w:tc>
        <w:tc>
          <w:tcPr>
            <w:tcW w:w="803" w:type="dxa"/>
          </w:tcPr>
          <w:p w:rsidR="00372911" w:rsidRPr="00FD0B91" w:rsidRDefault="00372911" w:rsidP="00372911">
            <w:r w:rsidRPr="00FD0B91">
              <w:t>2/151</w:t>
            </w:r>
          </w:p>
        </w:tc>
        <w:tc>
          <w:tcPr>
            <w:tcW w:w="1115" w:type="dxa"/>
          </w:tcPr>
          <w:p w:rsidR="00372911" w:rsidRPr="00FD0B91" w:rsidRDefault="00372911" w:rsidP="00372911">
            <w:r w:rsidRPr="00FD0B91">
              <w:t>1.31</w:t>
            </w:r>
          </w:p>
        </w:tc>
        <w:tc>
          <w:tcPr>
            <w:tcW w:w="916" w:type="dxa"/>
          </w:tcPr>
          <w:p w:rsidR="00372911" w:rsidRPr="00FD0B91" w:rsidRDefault="00372911" w:rsidP="00372911">
            <w:r w:rsidRPr="00FD0B91">
              <w:t>2/150</w:t>
            </w:r>
          </w:p>
        </w:tc>
        <w:tc>
          <w:tcPr>
            <w:tcW w:w="794" w:type="dxa"/>
          </w:tcPr>
          <w:p w:rsidR="00372911" w:rsidRPr="00FD0B91" w:rsidRDefault="00372911" w:rsidP="00372911">
            <w:r w:rsidRPr="00FD0B91">
              <w:t>.01</w:t>
            </w:r>
          </w:p>
        </w:tc>
        <w:tc>
          <w:tcPr>
            <w:tcW w:w="882" w:type="dxa"/>
          </w:tcPr>
          <w:p w:rsidR="00372911" w:rsidRPr="00FD0B91" w:rsidRDefault="00372911" w:rsidP="00372911">
            <w:r w:rsidRPr="00FD0B91">
              <w:t>.06</w:t>
            </w:r>
          </w:p>
        </w:tc>
      </w:tr>
      <w:tr w:rsidR="00372911" w:rsidRPr="00FD0B91" w:rsidTr="00372911">
        <w:tc>
          <w:tcPr>
            <w:tcW w:w="1548" w:type="dxa"/>
            <w:gridSpan w:val="2"/>
          </w:tcPr>
          <w:p w:rsidR="00372911" w:rsidRPr="00FD0B91" w:rsidRDefault="00372911" w:rsidP="00372911"/>
        </w:tc>
        <w:tc>
          <w:tcPr>
            <w:tcW w:w="1530" w:type="dxa"/>
            <w:gridSpan w:val="2"/>
          </w:tcPr>
          <w:p w:rsidR="00372911" w:rsidRPr="00FD0B91" w:rsidRDefault="00372911" w:rsidP="00372911">
            <w:r w:rsidRPr="00FD0B91">
              <w:t>ANALYZE</w:t>
            </w:r>
          </w:p>
        </w:tc>
        <w:tc>
          <w:tcPr>
            <w:tcW w:w="1052" w:type="dxa"/>
          </w:tcPr>
          <w:p w:rsidR="00372911" w:rsidRPr="00FD0B91" w:rsidRDefault="00372911" w:rsidP="00372911">
            <w:r w:rsidRPr="00FD0B91">
              <w:t>8.92**</w:t>
            </w:r>
          </w:p>
        </w:tc>
        <w:tc>
          <w:tcPr>
            <w:tcW w:w="803" w:type="dxa"/>
          </w:tcPr>
          <w:p w:rsidR="00372911" w:rsidRPr="00FD0B91" w:rsidRDefault="00372911" w:rsidP="00372911">
            <w:r w:rsidRPr="00FD0B91">
              <w:t>2/151</w:t>
            </w:r>
          </w:p>
        </w:tc>
        <w:tc>
          <w:tcPr>
            <w:tcW w:w="1115" w:type="dxa"/>
          </w:tcPr>
          <w:p w:rsidR="00372911" w:rsidRPr="00FD0B91" w:rsidRDefault="00372911" w:rsidP="00372911">
            <w:r w:rsidRPr="00FD0B91">
              <w:t>1.48</w:t>
            </w:r>
          </w:p>
        </w:tc>
        <w:tc>
          <w:tcPr>
            <w:tcW w:w="916" w:type="dxa"/>
          </w:tcPr>
          <w:p w:rsidR="00372911" w:rsidRPr="00FD0B91" w:rsidRDefault="00372911" w:rsidP="00372911">
            <w:r w:rsidRPr="00FD0B91">
              <w:t>2/149</w:t>
            </w:r>
          </w:p>
        </w:tc>
        <w:tc>
          <w:tcPr>
            <w:tcW w:w="794" w:type="dxa"/>
          </w:tcPr>
          <w:p w:rsidR="00372911" w:rsidRPr="00FD0B91" w:rsidRDefault="00372911" w:rsidP="00372911">
            <w:r w:rsidRPr="00FD0B91">
              <w:t>.01</w:t>
            </w:r>
          </w:p>
        </w:tc>
        <w:tc>
          <w:tcPr>
            <w:tcW w:w="882" w:type="dxa"/>
          </w:tcPr>
          <w:p w:rsidR="00372911" w:rsidRPr="00FD0B91" w:rsidRDefault="00372911" w:rsidP="00372911">
            <w:r w:rsidRPr="00FD0B91">
              <w:t>.10</w:t>
            </w:r>
          </w:p>
        </w:tc>
      </w:tr>
      <w:tr w:rsidR="00372911" w:rsidRPr="00FD0B91" w:rsidTr="00372911">
        <w:tc>
          <w:tcPr>
            <w:tcW w:w="1548" w:type="dxa"/>
            <w:gridSpan w:val="2"/>
          </w:tcPr>
          <w:p w:rsidR="00372911" w:rsidRPr="00FD0B91" w:rsidRDefault="00372911" w:rsidP="00372911"/>
        </w:tc>
        <w:tc>
          <w:tcPr>
            <w:tcW w:w="1530" w:type="dxa"/>
            <w:gridSpan w:val="2"/>
          </w:tcPr>
          <w:p w:rsidR="00372911" w:rsidRPr="00FD0B91" w:rsidRDefault="00372911" w:rsidP="00372911">
            <w:r w:rsidRPr="00FD0B91">
              <w:t>EVALUATE</w:t>
            </w:r>
          </w:p>
        </w:tc>
        <w:tc>
          <w:tcPr>
            <w:tcW w:w="1052" w:type="dxa"/>
          </w:tcPr>
          <w:p w:rsidR="00372911" w:rsidRPr="00FD0B91" w:rsidRDefault="00372911" w:rsidP="00372911">
            <w:r w:rsidRPr="00FD0B91">
              <w:t>3.24*</w:t>
            </w:r>
          </w:p>
        </w:tc>
        <w:tc>
          <w:tcPr>
            <w:tcW w:w="803" w:type="dxa"/>
          </w:tcPr>
          <w:p w:rsidR="00372911" w:rsidRPr="00FD0B91" w:rsidRDefault="00372911" w:rsidP="00372911">
            <w:r w:rsidRPr="00FD0B91">
              <w:t>2/151</w:t>
            </w:r>
          </w:p>
        </w:tc>
        <w:tc>
          <w:tcPr>
            <w:tcW w:w="1115" w:type="dxa"/>
          </w:tcPr>
          <w:p w:rsidR="00372911" w:rsidRPr="00FD0B91" w:rsidRDefault="00372911" w:rsidP="00372911">
            <w:r w:rsidRPr="00FD0B91">
              <w:t>0.12</w:t>
            </w:r>
          </w:p>
        </w:tc>
        <w:tc>
          <w:tcPr>
            <w:tcW w:w="916" w:type="dxa"/>
          </w:tcPr>
          <w:p w:rsidR="00372911" w:rsidRPr="00FD0B91" w:rsidRDefault="00372911" w:rsidP="00372911">
            <w:r w:rsidRPr="00FD0B91">
              <w:t>2/148</w:t>
            </w:r>
          </w:p>
        </w:tc>
        <w:tc>
          <w:tcPr>
            <w:tcW w:w="794" w:type="dxa"/>
          </w:tcPr>
          <w:p w:rsidR="00372911" w:rsidRPr="00FD0B91" w:rsidRDefault="00372911" w:rsidP="00372911">
            <w:r w:rsidRPr="00FD0B91">
              <w:t>.01</w:t>
            </w:r>
          </w:p>
        </w:tc>
        <w:tc>
          <w:tcPr>
            <w:tcW w:w="882" w:type="dxa"/>
          </w:tcPr>
          <w:p w:rsidR="00372911" w:rsidRPr="00FD0B91" w:rsidRDefault="00372911" w:rsidP="00372911">
            <w:r w:rsidRPr="00FD0B91">
              <w:t>.04</w:t>
            </w:r>
          </w:p>
        </w:tc>
      </w:tr>
      <w:tr w:rsidR="00372911" w:rsidRPr="00FD0B91" w:rsidTr="00372911">
        <w:tc>
          <w:tcPr>
            <w:tcW w:w="1548" w:type="dxa"/>
            <w:gridSpan w:val="2"/>
          </w:tcPr>
          <w:p w:rsidR="00372911" w:rsidRPr="00FD0B91" w:rsidRDefault="00372911" w:rsidP="00372911"/>
        </w:tc>
        <w:tc>
          <w:tcPr>
            <w:tcW w:w="1530" w:type="dxa"/>
            <w:gridSpan w:val="2"/>
          </w:tcPr>
          <w:p w:rsidR="00372911" w:rsidRPr="00FD0B91" w:rsidRDefault="00372911" w:rsidP="00372911">
            <w:r w:rsidRPr="00FD0B91">
              <w:t>CREATE</w:t>
            </w:r>
          </w:p>
        </w:tc>
        <w:tc>
          <w:tcPr>
            <w:tcW w:w="1052" w:type="dxa"/>
          </w:tcPr>
          <w:p w:rsidR="00372911" w:rsidRPr="00FD0B91" w:rsidRDefault="00372911" w:rsidP="00372911">
            <w:r w:rsidRPr="00FD0B91">
              <w:t>2.29</w:t>
            </w:r>
          </w:p>
        </w:tc>
        <w:tc>
          <w:tcPr>
            <w:tcW w:w="803" w:type="dxa"/>
          </w:tcPr>
          <w:p w:rsidR="00372911" w:rsidRPr="00FD0B91" w:rsidRDefault="00372911" w:rsidP="00372911">
            <w:r w:rsidRPr="00FD0B91">
              <w:t>2/151</w:t>
            </w:r>
          </w:p>
        </w:tc>
        <w:tc>
          <w:tcPr>
            <w:tcW w:w="1115" w:type="dxa"/>
          </w:tcPr>
          <w:p w:rsidR="00372911" w:rsidRPr="00FD0B91" w:rsidRDefault="00372911" w:rsidP="00372911">
            <w:r w:rsidRPr="00FD0B91">
              <w:t>1.40</w:t>
            </w:r>
          </w:p>
        </w:tc>
        <w:tc>
          <w:tcPr>
            <w:tcW w:w="916" w:type="dxa"/>
          </w:tcPr>
          <w:p w:rsidR="00372911" w:rsidRPr="00FD0B91" w:rsidRDefault="00372911" w:rsidP="00372911">
            <w:r w:rsidRPr="00FD0B91">
              <w:t>2/147</w:t>
            </w:r>
          </w:p>
        </w:tc>
        <w:tc>
          <w:tcPr>
            <w:tcW w:w="794" w:type="dxa"/>
          </w:tcPr>
          <w:p w:rsidR="00372911" w:rsidRPr="00FD0B91" w:rsidRDefault="00372911" w:rsidP="00372911">
            <w:r w:rsidRPr="00FD0B91">
              <w:t>.001</w:t>
            </w:r>
          </w:p>
        </w:tc>
        <w:tc>
          <w:tcPr>
            <w:tcW w:w="882" w:type="dxa"/>
          </w:tcPr>
          <w:p w:rsidR="00372911" w:rsidRPr="00FD0B91" w:rsidRDefault="00372911" w:rsidP="00372911">
            <w:r w:rsidRPr="00FD0B91">
              <w:t>.04</w:t>
            </w:r>
          </w:p>
        </w:tc>
      </w:tr>
      <w:tr w:rsidR="00372911" w:rsidRPr="00FD0B91" w:rsidTr="00372911">
        <w:tc>
          <w:tcPr>
            <w:tcW w:w="1548" w:type="dxa"/>
            <w:gridSpan w:val="2"/>
          </w:tcPr>
          <w:p w:rsidR="00372911" w:rsidRPr="00FD0B91" w:rsidRDefault="00372911" w:rsidP="00372911">
            <w:proofErr w:type="spellStart"/>
            <w:r w:rsidRPr="00FD0B91">
              <w:t>LearningStyle</w:t>
            </w:r>
            <w:proofErr w:type="spellEnd"/>
          </w:p>
        </w:tc>
        <w:tc>
          <w:tcPr>
            <w:tcW w:w="1530" w:type="dxa"/>
            <w:gridSpan w:val="2"/>
          </w:tcPr>
          <w:p w:rsidR="00372911" w:rsidRPr="00FD0B91" w:rsidRDefault="00372911" w:rsidP="00372911">
            <w:r w:rsidRPr="00FD0B91">
              <w:t>POSTTEST</w:t>
            </w:r>
          </w:p>
        </w:tc>
        <w:tc>
          <w:tcPr>
            <w:tcW w:w="1052" w:type="dxa"/>
          </w:tcPr>
          <w:p w:rsidR="00372911" w:rsidRPr="00FD0B91" w:rsidRDefault="00372911" w:rsidP="00372911">
            <w:r w:rsidRPr="00FD0B91">
              <w:t>0.38</w:t>
            </w:r>
          </w:p>
        </w:tc>
        <w:tc>
          <w:tcPr>
            <w:tcW w:w="803" w:type="dxa"/>
          </w:tcPr>
          <w:p w:rsidR="00372911" w:rsidRPr="00FD0B91" w:rsidRDefault="00372911" w:rsidP="00372911">
            <w:r w:rsidRPr="00FD0B91">
              <w:t>3/151</w:t>
            </w:r>
          </w:p>
        </w:tc>
        <w:tc>
          <w:tcPr>
            <w:tcW w:w="1115" w:type="dxa"/>
          </w:tcPr>
          <w:p w:rsidR="00372911" w:rsidRPr="00FD0B91" w:rsidRDefault="00372911" w:rsidP="00372911">
            <w:r w:rsidRPr="00FD0B91">
              <w:t>0.38</w:t>
            </w:r>
          </w:p>
        </w:tc>
        <w:tc>
          <w:tcPr>
            <w:tcW w:w="916" w:type="dxa"/>
          </w:tcPr>
          <w:p w:rsidR="00372911" w:rsidRPr="00FD0B91" w:rsidRDefault="00372911" w:rsidP="00372911">
            <w:r w:rsidRPr="00FD0B91">
              <w:t>3/151</w:t>
            </w:r>
          </w:p>
        </w:tc>
        <w:tc>
          <w:tcPr>
            <w:tcW w:w="794" w:type="dxa"/>
          </w:tcPr>
          <w:p w:rsidR="00372911" w:rsidRPr="00FD0B91" w:rsidRDefault="00372911" w:rsidP="00372911">
            <w:r w:rsidRPr="00FD0B91">
              <w:t>.01</w:t>
            </w:r>
          </w:p>
        </w:tc>
        <w:tc>
          <w:tcPr>
            <w:tcW w:w="882" w:type="dxa"/>
          </w:tcPr>
          <w:p w:rsidR="00372911" w:rsidRPr="00FD0B91" w:rsidRDefault="00372911" w:rsidP="00372911">
            <w:r w:rsidRPr="00FD0B91">
              <w:t>.02</w:t>
            </w:r>
          </w:p>
        </w:tc>
      </w:tr>
      <w:tr w:rsidR="00372911" w:rsidRPr="00FD0B91" w:rsidTr="00372911">
        <w:tc>
          <w:tcPr>
            <w:tcW w:w="1548" w:type="dxa"/>
            <w:gridSpan w:val="2"/>
          </w:tcPr>
          <w:p w:rsidR="00372911" w:rsidRPr="00FD0B91" w:rsidRDefault="00372911" w:rsidP="00372911"/>
        </w:tc>
        <w:tc>
          <w:tcPr>
            <w:tcW w:w="1530" w:type="dxa"/>
            <w:gridSpan w:val="2"/>
          </w:tcPr>
          <w:p w:rsidR="00372911" w:rsidRPr="00FD0B91" w:rsidRDefault="00372911" w:rsidP="00372911">
            <w:r w:rsidRPr="00FD0B91">
              <w:t>APPLY</w:t>
            </w:r>
          </w:p>
        </w:tc>
        <w:tc>
          <w:tcPr>
            <w:tcW w:w="1052" w:type="dxa"/>
          </w:tcPr>
          <w:p w:rsidR="00372911" w:rsidRPr="00FD0B91" w:rsidRDefault="00372911" w:rsidP="00372911">
            <w:r w:rsidRPr="00FD0B91">
              <w:t>0.22</w:t>
            </w:r>
          </w:p>
        </w:tc>
        <w:tc>
          <w:tcPr>
            <w:tcW w:w="803" w:type="dxa"/>
          </w:tcPr>
          <w:p w:rsidR="00372911" w:rsidRPr="00FD0B91" w:rsidRDefault="00372911" w:rsidP="00372911">
            <w:r w:rsidRPr="00FD0B91">
              <w:t>3/151</w:t>
            </w:r>
          </w:p>
        </w:tc>
        <w:tc>
          <w:tcPr>
            <w:tcW w:w="1115" w:type="dxa"/>
          </w:tcPr>
          <w:p w:rsidR="00372911" w:rsidRPr="00FD0B91" w:rsidRDefault="00372911" w:rsidP="00372911">
            <w:r w:rsidRPr="00FD0B91">
              <w:t>0.82</w:t>
            </w:r>
          </w:p>
        </w:tc>
        <w:tc>
          <w:tcPr>
            <w:tcW w:w="916" w:type="dxa"/>
          </w:tcPr>
          <w:p w:rsidR="00372911" w:rsidRPr="00FD0B91" w:rsidRDefault="00372911" w:rsidP="00372911">
            <w:r w:rsidRPr="00FD0B91">
              <w:t>3/150</w:t>
            </w:r>
          </w:p>
        </w:tc>
        <w:tc>
          <w:tcPr>
            <w:tcW w:w="794" w:type="dxa"/>
          </w:tcPr>
          <w:p w:rsidR="00372911" w:rsidRPr="00FD0B91" w:rsidRDefault="00372911" w:rsidP="00372911">
            <w:r w:rsidRPr="00FD0B91">
              <w:t>.01</w:t>
            </w:r>
          </w:p>
        </w:tc>
        <w:tc>
          <w:tcPr>
            <w:tcW w:w="882" w:type="dxa"/>
          </w:tcPr>
          <w:p w:rsidR="00372911" w:rsidRPr="00FD0B91" w:rsidRDefault="00372911" w:rsidP="00372911">
            <w:r w:rsidRPr="00FD0B91">
              <w:t>.01</w:t>
            </w:r>
          </w:p>
        </w:tc>
      </w:tr>
      <w:tr w:rsidR="00372911" w:rsidRPr="00FD0B91" w:rsidTr="00372911">
        <w:tc>
          <w:tcPr>
            <w:tcW w:w="1548" w:type="dxa"/>
            <w:gridSpan w:val="2"/>
          </w:tcPr>
          <w:p w:rsidR="00372911" w:rsidRPr="00FD0B91" w:rsidRDefault="00372911" w:rsidP="00372911"/>
        </w:tc>
        <w:tc>
          <w:tcPr>
            <w:tcW w:w="1530" w:type="dxa"/>
            <w:gridSpan w:val="2"/>
          </w:tcPr>
          <w:p w:rsidR="00372911" w:rsidRPr="00FD0B91" w:rsidRDefault="00372911" w:rsidP="00372911">
            <w:r w:rsidRPr="00FD0B91">
              <w:t>ANALYZE</w:t>
            </w:r>
          </w:p>
        </w:tc>
        <w:tc>
          <w:tcPr>
            <w:tcW w:w="1052" w:type="dxa"/>
          </w:tcPr>
          <w:p w:rsidR="00372911" w:rsidRPr="00FD0B91" w:rsidRDefault="00372911" w:rsidP="00372911">
            <w:r w:rsidRPr="00FD0B91">
              <w:t>1.02</w:t>
            </w:r>
          </w:p>
        </w:tc>
        <w:tc>
          <w:tcPr>
            <w:tcW w:w="803" w:type="dxa"/>
          </w:tcPr>
          <w:p w:rsidR="00372911" w:rsidRPr="00FD0B91" w:rsidRDefault="00372911" w:rsidP="00372911">
            <w:r w:rsidRPr="00FD0B91">
              <w:t>3/151</w:t>
            </w:r>
          </w:p>
        </w:tc>
        <w:tc>
          <w:tcPr>
            <w:tcW w:w="1115" w:type="dxa"/>
          </w:tcPr>
          <w:p w:rsidR="00372911" w:rsidRPr="00FD0B91" w:rsidRDefault="00372911" w:rsidP="00372911">
            <w:r w:rsidRPr="00FD0B91">
              <w:t>2.35</w:t>
            </w:r>
          </w:p>
        </w:tc>
        <w:tc>
          <w:tcPr>
            <w:tcW w:w="916" w:type="dxa"/>
          </w:tcPr>
          <w:p w:rsidR="00372911" w:rsidRPr="00FD0B91" w:rsidRDefault="00372911" w:rsidP="00372911">
            <w:r w:rsidRPr="00FD0B91">
              <w:t>3/149</w:t>
            </w:r>
          </w:p>
        </w:tc>
        <w:tc>
          <w:tcPr>
            <w:tcW w:w="794" w:type="dxa"/>
          </w:tcPr>
          <w:p w:rsidR="00372911" w:rsidRPr="00FD0B91" w:rsidRDefault="00372911" w:rsidP="00372911">
            <w:r w:rsidRPr="00FD0B91">
              <w:t>.01</w:t>
            </w:r>
          </w:p>
        </w:tc>
        <w:tc>
          <w:tcPr>
            <w:tcW w:w="882" w:type="dxa"/>
          </w:tcPr>
          <w:p w:rsidR="00372911" w:rsidRPr="00FD0B91" w:rsidRDefault="00372911" w:rsidP="00372911">
            <w:r w:rsidRPr="00FD0B91">
              <w:t>.02</w:t>
            </w:r>
          </w:p>
        </w:tc>
      </w:tr>
      <w:tr w:rsidR="00372911" w:rsidRPr="00FD0B91" w:rsidTr="00372911">
        <w:tc>
          <w:tcPr>
            <w:tcW w:w="1548" w:type="dxa"/>
            <w:gridSpan w:val="2"/>
          </w:tcPr>
          <w:p w:rsidR="00372911" w:rsidRPr="00FD0B91" w:rsidRDefault="00372911" w:rsidP="00372911"/>
        </w:tc>
        <w:tc>
          <w:tcPr>
            <w:tcW w:w="1530" w:type="dxa"/>
            <w:gridSpan w:val="2"/>
          </w:tcPr>
          <w:p w:rsidR="00372911" w:rsidRPr="00FD0B91" w:rsidRDefault="00372911" w:rsidP="00372911">
            <w:r w:rsidRPr="00FD0B91">
              <w:t>EVALUATE</w:t>
            </w:r>
          </w:p>
        </w:tc>
        <w:tc>
          <w:tcPr>
            <w:tcW w:w="1052" w:type="dxa"/>
          </w:tcPr>
          <w:p w:rsidR="00372911" w:rsidRPr="00FD0B91" w:rsidRDefault="00372911" w:rsidP="00372911">
            <w:r w:rsidRPr="00FD0B91">
              <w:t>0.77</w:t>
            </w:r>
          </w:p>
        </w:tc>
        <w:tc>
          <w:tcPr>
            <w:tcW w:w="803" w:type="dxa"/>
          </w:tcPr>
          <w:p w:rsidR="00372911" w:rsidRPr="00FD0B91" w:rsidRDefault="00372911" w:rsidP="00372911">
            <w:r w:rsidRPr="00FD0B91">
              <w:t>3/151</w:t>
            </w:r>
          </w:p>
        </w:tc>
        <w:tc>
          <w:tcPr>
            <w:tcW w:w="1115" w:type="dxa"/>
          </w:tcPr>
          <w:p w:rsidR="00372911" w:rsidRPr="00FD0B91" w:rsidRDefault="00372911" w:rsidP="00372911">
            <w:r w:rsidRPr="00FD0B91">
              <w:t>1.53</w:t>
            </w:r>
          </w:p>
        </w:tc>
        <w:tc>
          <w:tcPr>
            <w:tcW w:w="916" w:type="dxa"/>
          </w:tcPr>
          <w:p w:rsidR="00372911" w:rsidRPr="00FD0B91" w:rsidRDefault="00372911" w:rsidP="00372911">
            <w:r w:rsidRPr="00FD0B91">
              <w:t>3/148</w:t>
            </w:r>
          </w:p>
        </w:tc>
        <w:tc>
          <w:tcPr>
            <w:tcW w:w="794" w:type="dxa"/>
          </w:tcPr>
          <w:p w:rsidR="00372911" w:rsidRPr="00FD0B91" w:rsidRDefault="00372911" w:rsidP="00372911">
            <w:r w:rsidRPr="00FD0B91">
              <w:t>.01</w:t>
            </w:r>
          </w:p>
        </w:tc>
        <w:tc>
          <w:tcPr>
            <w:tcW w:w="882" w:type="dxa"/>
          </w:tcPr>
          <w:p w:rsidR="00372911" w:rsidRPr="00FD0B91" w:rsidRDefault="00372911" w:rsidP="00372911">
            <w:r w:rsidRPr="00FD0B91">
              <w:t>.03</w:t>
            </w:r>
          </w:p>
        </w:tc>
      </w:tr>
      <w:tr w:rsidR="00372911" w:rsidRPr="00FD0B91" w:rsidTr="00372911">
        <w:tc>
          <w:tcPr>
            <w:tcW w:w="1548" w:type="dxa"/>
            <w:gridSpan w:val="2"/>
          </w:tcPr>
          <w:p w:rsidR="00372911" w:rsidRPr="00FD0B91" w:rsidRDefault="00372911" w:rsidP="00372911"/>
        </w:tc>
        <w:tc>
          <w:tcPr>
            <w:tcW w:w="1530" w:type="dxa"/>
            <w:gridSpan w:val="2"/>
          </w:tcPr>
          <w:p w:rsidR="00372911" w:rsidRPr="00FD0B91" w:rsidRDefault="00372911" w:rsidP="00372911">
            <w:r w:rsidRPr="00FD0B91">
              <w:t>CREATE</w:t>
            </w:r>
          </w:p>
        </w:tc>
        <w:tc>
          <w:tcPr>
            <w:tcW w:w="1052" w:type="dxa"/>
          </w:tcPr>
          <w:p w:rsidR="00372911" w:rsidRPr="00FD0B91" w:rsidRDefault="00372911" w:rsidP="00372911">
            <w:r w:rsidRPr="00FD0B91">
              <w:t>0.06</w:t>
            </w:r>
          </w:p>
        </w:tc>
        <w:tc>
          <w:tcPr>
            <w:tcW w:w="803" w:type="dxa"/>
          </w:tcPr>
          <w:p w:rsidR="00372911" w:rsidRPr="00FD0B91" w:rsidRDefault="00372911" w:rsidP="00372911">
            <w:r w:rsidRPr="00FD0B91">
              <w:t>3/151</w:t>
            </w:r>
          </w:p>
        </w:tc>
        <w:tc>
          <w:tcPr>
            <w:tcW w:w="1115" w:type="dxa"/>
          </w:tcPr>
          <w:p w:rsidR="00372911" w:rsidRPr="00FD0B91" w:rsidRDefault="00372911" w:rsidP="00372911">
            <w:r w:rsidRPr="00FD0B91">
              <w:t>0.05</w:t>
            </w:r>
          </w:p>
        </w:tc>
        <w:tc>
          <w:tcPr>
            <w:tcW w:w="916" w:type="dxa"/>
          </w:tcPr>
          <w:p w:rsidR="00372911" w:rsidRPr="00FD0B91" w:rsidRDefault="00372911" w:rsidP="00372911">
            <w:r w:rsidRPr="00FD0B91">
              <w:t>3/147</w:t>
            </w:r>
          </w:p>
        </w:tc>
        <w:tc>
          <w:tcPr>
            <w:tcW w:w="794" w:type="dxa"/>
          </w:tcPr>
          <w:p w:rsidR="00372911" w:rsidRPr="00FD0B91" w:rsidRDefault="00372911" w:rsidP="00372911">
            <w:r w:rsidRPr="00FD0B91">
              <w:t>.001</w:t>
            </w:r>
          </w:p>
        </w:tc>
        <w:tc>
          <w:tcPr>
            <w:tcW w:w="882" w:type="dxa"/>
          </w:tcPr>
          <w:p w:rsidR="00372911" w:rsidRPr="00FD0B91" w:rsidRDefault="00372911" w:rsidP="00372911">
            <w:r w:rsidRPr="00FD0B91">
              <w:t>.01</w:t>
            </w:r>
          </w:p>
        </w:tc>
      </w:tr>
      <w:tr w:rsidR="00372911" w:rsidRPr="00FD0B91" w:rsidTr="00372911">
        <w:tc>
          <w:tcPr>
            <w:tcW w:w="1548" w:type="dxa"/>
            <w:gridSpan w:val="2"/>
          </w:tcPr>
          <w:p w:rsidR="00372911" w:rsidRPr="00FD0B91" w:rsidRDefault="00372911" w:rsidP="00372911">
            <w:proofErr w:type="spellStart"/>
            <w:r w:rsidRPr="00FD0B91">
              <w:t>LearningTool</w:t>
            </w:r>
            <w:proofErr w:type="spellEnd"/>
            <w:r w:rsidRPr="00FD0B91">
              <w:t xml:space="preserve">  </w:t>
            </w:r>
          </w:p>
        </w:tc>
        <w:tc>
          <w:tcPr>
            <w:tcW w:w="1530" w:type="dxa"/>
            <w:gridSpan w:val="2"/>
          </w:tcPr>
          <w:p w:rsidR="00372911" w:rsidRPr="00FD0B91" w:rsidRDefault="00372911" w:rsidP="00372911">
            <w:r w:rsidRPr="00FD0B91">
              <w:t>POSTTEST</w:t>
            </w:r>
          </w:p>
        </w:tc>
        <w:tc>
          <w:tcPr>
            <w:tcW w:w="1052" w:type="dxa"/>
          </w:tcPr>
          <w:p w:rsidR="00372911" w:rsidRPr="00FD0B91" w:rsidRDefault="00372911" w:rsidP="00372911">
            <w:r w:rsidRPr="00FD0B91">
              <w:t>2.00</w:t>
            </w:r>
          </w:p>
        </w:tc>
        <w:tc>
          <w:tcPr>
            <w:tcW w:w="803" w:type="dxa"/>
          </w:tcPr>
          <w:p w:rsidR="00372911" w:rsidRPr="00FD0B91" w:rsidRDefault="00372911" w:rsidP="00372911">
            <w:r w:rsidRPr="00FD0B91">
              <w:t>6/151</w:t>
            </w:r>
          </w:p>
        </w:tc>
        <w:tc>
          <w:tcPr>
            <w:tcW w:w="1115" w:type="dxa"/>
          </w:tcPr>
          <w:p w:rsidR="00372911" w:rsidRPr="00FD0B91" w:rsidRDefault="00372911" w:rsidP="00372911">
            <w:r w:rsidRPr="00FD0B91">
              <w:t>2.00</w:t>
            </w:r>
          </w:p>
        </w:tc>
        <w:tc>
          <w:tcPr>
            <w:tcW w:w="916" w:type="dxa"/>
          </w:tcPr>
          <w:p w:rsidR="00372911" w:rsidRPr="00FD0B91" w:rsidRDefault="00372911" w:rsidP="00372911">
            <w:r w:rsidRPr="00FD0B91">
              <w:t>6/151</w:t>
            </w:r>
          </w:p>
        </w:tc>
        <w:tc>
          <w:tcPr>
            <w:tcW w:w="794" w:type="dxa"/>
          </w:tcPr>
          <w:p w:rsidR="00372911" w:rsidRPr="00FD0B91" w:rsidRDefault="00372911" w:rsidP="00372911">
            <w:r w:rsidRPr="00FD0B91">
              <w:t>.01</w:t>
            </w:r>
          </w:p>
        </w:tc>
        <w:tc>
          <w:tcPr>
            <w:tcW w:w="882" w:type="dxa"/>
          </w:tcPr>
          <w:p w:rsidR="00372911" w:rsidRPr="00FD0B91" w:rsidRDefault="00372911" w:rsidP="00372911">
            <w:r w:rsidRPr="00FD0B91">
              <w:t>.15</w:t>
            </w:r>
          </w:p>
        </w:tc>
      </w:tr>
      <w:tr w:rsidR="00372911" w:rsidRPr="00FD0B91" w:rsidTr="00372911">
        <w:tc>
          <w:tcPr>
            <w:tcW w:w="1548" w:type="dxa"/>
            <w:gridSpan w:val="2"/>
          </w:tcPr>
          <w:p w:rsidR="00372911" w:rsidRPr="00FD0B91" w:rsidRDefault="00372911" w:rsidP="00372911">
            <w:r w:rsidRPr="00FD0B91">
              <w:t>by</w:t>
            </w:r>
          </w:p>
        </w:tc>
        <w:tc>
          <w:tcPr>
            <w:tcW w:w="1530" w:type="dxa"/>
            <w:gridSpan w:val="2"/>
          </w:tcPr>
          <w:p w:rsidR="00372911" w:rsidRPr="00FD0B91" w:rsidRDefault="00372911" w:rsidP="00372911">
            <w:r w:rsidRPr="00FD0B91">
              <w:t>APPLY</w:t>
            </w:r>
          </w:p>
        </w:tc>
        <w:tc>
          <w:tcPr>
            <w:tcW w:w="1052" w:type="dxa"/>
          </w:tcPr>
          <w:p w:rsidR="00372911" w:rsidRPr="00FD0B91" w:rsidRDefault="00372911" w:rsidP="00372911">
            <w:r w:rsidRPr="00FD0B91">
              <w:t>2.21*</w:t>
            </w:r>
          </w:p>
        </w:tc>
        <w:tc>
          <w:tcPr>
            <w:tcW w:w="803" w:type="dxa"/>
          </w:tcPr>
          <w:p w:rsidR="00372911" w:rsidRPr="00FD0B91" w:rsidRDefault="00372911" w:rsidP="00372911">
            <w:r w:rsidRPr="00FD0B91">
              <w:t>6/151</w:t>
            </w:r>
          </w:p>
        </w:tc>
        <w:tc>
          <w:tcPr>
            <w:tcW w:w="1115" w:type="dxa"/>
          </w:tcPr>
          <w:p w:rsidR="00372911" w:rsidRPr="00FD0B91" w:rsidRDefault="00372911" w:rsidP="00372911">
            <w:r w:rsidRPr="00FD0B91">
              <w:t>2.78**</w:t>
            </w:r>
          </w:p>
        </w:tc>
        <w:tc>
          <w:tcPr>
            <w:tcW w:w="916" w:type="dxa"/>
          </w:tcPr>
          <w:p w:rsidR="00372911" w:rsidRPr="00FD0B91" w:rsidRDefault="00372911" w:rsidP="00372911">
            <w:r w:rsidRPr="00FD0B91">
              <w:t>6/150</w:t>
            </w:r>
          </w:p>
        </w:tc>
        <w:tc>
          <w:tcPr>
            <w:tcW w:w="794" w:type="dxa"/>
          </w:tcPr>
          <w:p w:rsidR="00372911" w:rsidRPr="00FD0B91" w:rsidRDefault="00372911" w:rsidP="00372911">
            <w:r w:rsidRPr="00FD0B91">
              <w:t>.01</w:t>
            </w:r>
          </w:p>
        </w:tc>
        <w:tc>
          <w:tcPr>
            <w:tcW w:w="882" w:type="dxa"/>
          </w:tcPr>
          <w:p w:rsidR="00372911" w:rsidRPr="00FD0B91" w:rsidRDefault="00372911" w:rsidP="00372911">
            <w:r w:rsidRPr="00FD0B91">
              <w:t>.10</w:t>
            </w:r>
          </w:p>
        </w:tc>
      </w:tr>
      <w:tr w:rsidR="00372911" w:rsidRPr="00FD0B91" w:rsidTr="00372911">
        <w:tc>
          <w:tcPr>
            <w:tcW w:w="1548" w:type="dxa"/>
            <w:gridSpan w:val="2"/>
          </w:tcPr>
          <w:p w:rsidR="00372911" w:rsidRPr="00FD0B91" w:rsidRDefault="00372911" w:rsidP="00372911">
            <w:proofErr w:type="spellStart"/>
            <w:r w:rsidRPr="00FD0B91">
              <w:t>LearningStyle</w:t>
            </w:r>
            <w:proofErr w:type="spellEnd"/>
          </w:p>
        </w:tc>
        <w:tc>
          <w:tcPr>
            <w:tcW w:w="1530" w:type="dxa"/>
            <w:gridSpan w:val="2"/>
          </w:tcPr>
          <w:p w:rsidR="00372911" w:rsidRPr="00FD0B91" w:rsidRDefault="00372911" w:rsidP="00372911">
            <w:r w:rsidRPr="00FD0B91">
              <w:t>ANALYZE</w:t>
            </w:r>
          </w:p>
        </w:tc>
        <w:tc>
          <w:tcPr>
            <w:tcW w:w="1052" w:type="dxa"/>
          </w:tcPr>
          <w:p w:rsidR="00372911" w:rsidRPr="00FD0B91" w:rsidRDefault="00372911" w:rsidP="00372911">
            <w:r w:rsidRPr="00FD0B91">
              <w:t>1.56</w:t>
            </w:r>
          </w:p>
        </w:tc>
        <w:tc>
          <w:tcPr>
            <w:tcW w:w="803" w:type="dxa"/>
          </w:tcPr>
          <w:p w:rsidR="00372911" w:rsidRPr="00FD0B91" w:rsidRDefault="00372911" w:rsidP="00372911">
            <w:r w:rsidRPr="00FD0B91">
              <w:t>6/151</w:t>
            </w:r>
          </w:p>
        </w:tc>
        <w:tc>
          <w:tcPr>
            <w:tcW w:w="1115" w:type="dxa"/>
          </w:tcPr>
          <w:p w:rsidR="00372911" w:rsidRPr="00FD0B91" w:rsidRDefault="00372911" w:rsidP="00372911">
            <w:r w:rsidRPr="00FD0B91">
              <w:t>0.78</w:t>
            </w:r>
          </w:p>
        </w:tc>
        <w:tc>
          <w:tcPr>
            <w:tcW w:w="916" w:type="dxa"/>
          </w:tcPr>
          <w:p w:rsidR="00372911" w:rsidRPr="00FD0B91" w:rsidRDefault="00372911" w:rsidP="00372911">
            <w:r w:rsidRPr="00FD0B91">
              <w:t>6/149</w:t>
            </w:r>
          </w:p>
        </w:tc>
        <w:tc>
          <w:tcPr>
            <w:tcW w:w="794" w:type="dxa"/>
          </w:tcPr>
          <w:p w:rsidR="00372911" w:rsidRPr="00FD0B91" w:rsidRDefault="00372911" w:rsidP="00372911">
            <w:r w:rsidRPr="00FD0B91">
              <w:t>.01</w:t>
            </w:r>
          </w:p>
        </w:tc>
        <w:tc>
          <w:tcPr>
            <w:tcW w:w="882" w:type="dxa"/>
          </w:tcPr>
          <w:p w:rsidR="00372911" w:rsidRPr="00FD0B91" w:rsidRDefault="00372911" w:rsidP="00372911">
            <w:r w:rsidRPr="00FD0B91">
              <w:t>.09</w:t>
            </w:r>
          </w:p>
        </w:tc>
      </w:tr>
      <w:tr w:rsidR="00372911" w:rsidRPr="00FD0B91" w:rsidTr="00372911">
        <w:tc>
          <w:tcPr>
            <w:tcW w:w="1548" w:type="dxa"/>
            <w:gridSpan w:val="2"/>
          </w:tcPr>
          <w:p w:rsidR="00372911" w:rsidRPr="00FD0B91" w:rsidRDefault="00372911" w:rsidP="00372911"/>
        </w:tc>
        <w:tc>
          <w:tcPr>
            <w:tcW w:w="1530" w:type="dxa"/>
            <w:gridSpan w:val="2"/>
          </w:tcPr>
          <w:p w:rsidR="00372911" w:rsidRPr="00FD0B91" w:rsidRDefault="00372911" w:rsidP="00372911">
            <w:r w:rsidRPr="00FD0B91">
              <w:t>EVALUATE</w:t>
            </w:r>
          </w:p>
        </w:tc>
        <w:tc>
          <w:tcPr>
            <w:tcW w:w="1052" w:type="dxa"/>
          </w:tcPr>
          <w:p w:rsidR="00372911" w:rsidRPr="00FD0B91" w:rsidRDefault="00372911" w:rsidP="00372911">
            <w:r w:rsidRPr="00FD0B91">
              <w:t>2.79*</w:t>
            </w:r>
          </w:p>
        </w:tc>
        <w:tc>
          <w:tcPr>
            <w:tcW w:w="803" w:type="dxa"/>
          </w:tcPr>
          <w:p w:rsidR="00372911" w:rsidRPr="00FD0B91" w:rsidRDefault="00372911" w:rsidP="00372911">
            <w:r w:rsidRPr="00FD0B91">
              <w:t>6/151</w:t>
            </w:r>
          </w:p>
        </w:tc>
        <w:tc>
          <w:tcPr>
            <w:tcW w:w="1115" w:type="dxa"/>
          </w:tcPr>
          <w:p w:rsidR="00372911" w:rsidRPr="00FD0B91" w:rsidRDefault="00372911" w:rsidP="00372911">
            <w:r w:rsidRPr="00FD0B91">
              <w:t>1.98</w:t>
            </w:r>
          </w:p>
        </w:tc>
        <w:tc>
          <w:tcPr>
            <w:tcW w:w="916" w:type="dxa"/>
          </w:tcPr>
          <w:p w:rsidR="00372911" w:rsidRPr="00FD0B91" w:rsidRDefault="00372911" w:rsidP="00372911">
            <w:r w:rsidRPr="00FD0B91">
              <w:t>6/148</w:t>
            </w:r>
          </w:p>
        </w:tc>
        <w:tc>
          <w:tcPr>
            <w:tcW w:w="794" w:type="dxa"/>
          </w:tcPr>
          <w:p w:rsidR="00372911" w:rsidRPr="00FD0B91" w:rsidRDefault="00372911" w:rsidP="00372911">
            <w:r w:rsidRPr="00FD0B91">
              <w:t>.01</w:t>
            </w:r>
          </w:p>
        </w:tc>
        <w:tc>
          <w:tcPr>
            <w:tcW w:w="882" w:type="dxa"/>
          </w:tcPr>
          <w:p w:rsidR="00372911" w:rsidRPr="00FD0B91" w:rsidRDefault="00372911" w:rsidP="00372911">
            <w:r w:rsidRPr="00FD0B91">
              <w:t>.13</w:t>
            </w:r>
          </w:p>
        </w:tc>
      </w:tr>
      <w:tr w:rsidR="00372911" w:rsidRPr="00FD0B91" w:rsidTr="00372911">
        <w:tc>
          <w:tcPr>
            <w:tcW w:w="1548" w:type="dxa"/>
            <w:gridSpan w:val="2"/>
          </w:tcPr>
          <w:p w:rsidR="00372911" w:rsidRPr="00FD0B91" w:rsidRDefault="00372911" w:rsidP="00372911"/>
        </w:tc>
        <w:tc>
          <w:tcPr>
            <w:tcW w:w="1530" w:type="dxa"/>
            <w:gridSpan w:val="2"/>
          </w:tcPr>
          <w:p w:rsidR="00372911" w:rsidRPr="00FD0B91" w:rsidRDefault="00372911" w:rsidP="00372911">
            <w:r w:rsidRPr="00FD0B91">
              <w:t>CREATE</w:t>
            </w:r>
          </w:p>
        </w:tc>
        <w:tc>
          <w:tcPr>
            <w:tcW w:w="1052" w:type="dxa"/>
          </w:tcPr>
          <w:p w:rsidR="00372911" w:rsidRPr="00FD0B91" w:rsidRDefault="00372911" w:rsidP="00372911">
            <w:r w:rsidRPr="00FD0B91">
              <w:t>0.84</w:t>
            </w:r>
          </w:p>
        </w:tc>
        <w:tc>
          <w:tcPr>
            <w:tcW w:w="803" w:type="dxa"/>
          </w:tcPr>
          <w:p w:rsidR="00372911" w:rsidRPr="00FD0B91" w:rsidRDefault="00372911" w:rsidP="00372911">
            <w:r w:rsidRPr="00FD0B91">
              <w:t>6/151</w:t>
            </w:r>
          </w:p>
        </w:tc>
        <w:tc>
          <w:tcPr>
            <w:tcW w:w="1115" w:type="dxa"/>
          </w:tcPr>
          <w:p w:rsidR="00372911" w:rsidRPr="00FD0B91" w:rsidRDefault="00372911" w:rsidP="00372911">
            <w:r w:rsidRPr="00FD0B91">
              <w:t>1.661</w:t>
            </w:r>
          </w:p>
        </w:tc>
        <w:tc>
          <w:tcPr>
            <w:tcW w:w="916" w:type="dxa"/>
          </w:tcPr>
          <w:p w:rsidR="00372911" w:rsidRPr="00FD0B91" w:rsidRDefault="00372911" w:rsidP="00372911">
            <w:r w:rsidRPr="00FD0B91">
              <w:t>6/147</w:t>
            </w:r>
          </w:p>
        </w:tc>
        <w:tc>
          <w:tcPr>
            <w:tcW w:w="794" w:type="dxa"/>
          </w:tcPr>
          <w:p w:rsidR="00372911" w:rsidRPr="00FD0B91" w:rsidRDefault="00372911" w:rsidP="00372911">
            <w:r w:rsidRPr="00FD0B91">
              <w:t>.001</w:t>
            </w:r>
          </w:p>
        </w:tc>
        <w:tc>
          <w:tcPr>
            <w:tcW w:w="882" w:type="dxa"/>
          </w:tcPr>
          <w:p w:rsidR="00372911" w:rsidRPr="00FD0B91" w:rsidRDefault="00372911" w:rsidP="00372911">
            <w:r w:rsidRPr="00FD0B91">
              <w:t>.07</w:t>
            </w:r>
          </w:p>
        </w:tc>
      </w:tr>
    </w:tbl>
    <w:p w:rsidR="00372911" w:rsidRPr="00F55E67" w:rsidRDefault="00372911" w:rsidP="00372911">
      <w:pPr>
        <w:rPr>
          <w:sz w:val="18"/>
          <w:szCs w:val="18"/>
          <w:lang w:eastAsia="ko-KR"/>
        </w:rPr>
      </w:pPr>
      <w:r>
        <w:rPr>
          <w:sz w:val="18"/>
          <w:szCs w:val="18"/>
          <w:lang w:eastAsia="ko-KR"/>
        </w:rPr>
        <w:t xml:space="preserve">  </w:t>
      </w:r>
      <w:r w:rsidRPr="00F55E67">
        <w:rPr>
          <w:sz w:val="18"/>
          <w:szCs w:val="18"/>
          <w:lang w:eastAsia="ko-KR"/>
        </w:rPr>
        <w:t xml:space="preserve">* </w:t>
      </w:r>
      <w:proofErr w:type="gramStart"/>
      <w:r w:rsidRPr="00F55E67">
        <w:rPr>
          <w:i/>
          <w:iCs/>
          <w:sz w:val="18"/>
          <w:szCs w:val="18"/>
          <w:lang w:eastAsia="ko-KR"/>
        </w:rPr>
        <w:t>p</w:t>
      </w:r>
      <w:proofErr w:type="gramEnd"/>
      <w:r w:rsidRPr="00F55E67">
        <w:rPr>
          <w:sz w:val="18"/>
          <w:szCs w:val="18"/>
          <w:lang w:eastAsia="ko-KR"/>
        </w:rPr>
        <w:t xml:space="preserve"> &lt; .05</w:t>
      </w:r>
      <w:r w:rsidR="004077CD">
        <w:rPr>
          <w:sz w:val="18"/>
          <w:szCs w:val="18"/>
          <w:lang w:eastAsia="ko-KR"/>
        </w:rPr>
        <w:t xml:space="preserve">   </w:t>
      </w:r>
      <w:r w:rsidRPr="00F55E67">
        <w:rPr>
          <w:sz w:val="18"/>
          <w:szCs w:val="18"/>
          <w:lang w:eastAsia="ko-KR"/>
        </w:rPr>
        <w:t xml:space="preserve">** </w:t>
      </w:r>
      <w:r w:rsidRPr="00F55E67">
        <w:rPr>
          <w:i/>
          <w:iCs/>
          <w:sz w:val="18"/>
          <w:szCs w:val="18"/>
          <w:lang w:eastAsia="ko-KR"/>
        </w:rPr>
        <w:t>p</w:t>
      </w:r>
      <w:r w:rsidRPr="00F55E67">
        <w:rPr>
          <w:sz w:val="18"/>
          <w:szCs w:val="18"/>
          <w:lang w:eastAsia="ko-KR"/>
        </w:rPr>
        <w:t xml:space="preserve"> &lt; .01</w:t>
      </w:r>
    </w:p>
    <w:p w:rsidR="00372911" w:rsidRPr="00FD0B91" w:rsidRDefault="00372911" w:rsidP="00372911">
      <w:pPr>
        <w:rPr>
          <w:rFonts w:cs="Arial"/>
        </w:rPr>
      </w:pPr>
      <w:r w:rsidRPr="00FD0B91">
        <w:rPr>
          <w:rFonts w:cs="Arial"/>
        </w:rPr>
        <w:t xml:space="preserve">After adjusting for differences on the Pretest, Posttest made a significant contribution to the composite of the DVs that best distinguishes among students who participated in each of the three treatment conditions, </w:t>
      </w:r>
      <w:proofErr w:type="spellStart"/>
      <w:r w:rsidRPr="00FD0B91">
        <w:rPr>
          <w:rFonts w:cs="Arial"/>
        </w:rPr>
        <w:t>stepdown</w:t>
      </w:r>
      <w:proofErr w:type="spellEnd"/>
      <w:r w:rsidRPr="00FD0B91">
        <w:rPr>
          <w:rFonts w:cs="Arial"/>
        </w:rPr>
        <w:t xml:space="preserve"> </w:t>
      </w:r>
      <w:r w:rsidRPr="00FD0B91">
        <w:rPr>
          <w:rFonts w:cs="Arial"/>
          <w:i/>
        </w:rPr>
        <w:t>F</w:t>
      </w:r>
      <w:r w:rsidRPr="00FD0B91">
        <w:rPr>
          <w:rFonts w:cs="Arial"/>
        </w:rPr>
        <w:t xml:space="preserve">(2,139) = 11.17, </w:t>
      </w:r>
      <w:r w:rsidRPr="00FD0B91">
        <w:rPr>
          <w:rFonts w:cs="Arial"/>
          <w:i/>
        </w:rPr>
        <w:t>p</w:t>
      </w:r>
      <w:r w:rsidRPr="00FD0B91">
        <w:rPr>
          <w:rFonts w:cs="Arial"/>
        </w:rPr>
        <w:t xml:space="preserve"> &lt; .01, </w:t>
      </w:r>
      <w:r w:rsidRPr="00FD0B91">
        <w:rPr>
          <w:bCs/>
          <w:sz w:val="26"/>
          <w:szCs w:val="26"/>
        </w:rPr>
        <w:t>η</w:t>
      </w:r>
      <w:r w:rsidRPr="00FD0B91">
        <w:rPr>
          <w:sz w:val="26"/>
          <w:szCs w:val="26"/>
          <w:vertAlign w:val="superscript"/>
        </w:rPr>
        <w:t xml:space="preserve">2 </w:t>
      </w:r>
      <w:r w:rsidRPr="00FD0B91">
        <w:rPr>
          <w:rFonts w:cs="Arial"/>
        </w:rPr>
        <w:t xml:space="preserve">= .09.  Students in the third group (adjusted mean </w:t>
      </w:r>
      <w:proofErr w:type="spellStart"/>
      <w:r w:rsidRPr="00FD0B91">
        <w:rPr>
          <w:rFonts w:cs="Arial"/>
        </w:rPr>
        <w:t>LearningTool</w:t>
      </w:r>
      <w:proofErr w:type="spellEnd"/>
      <w:r w:rsidRPr="00FD0B91">
        <w:rPr>
          <w:rFonts w:cs="Arial"/>
        </w:rPr>
        <w:t xml:space="preserve"> = 57.92, SE = 2.50) performed better than students in group two (adjusted mean </w:t>
      </w:r>
      <w:proofErr w:type="spellStart"/>
      <w:r w:rsidRPr="00FD0B91">
        <w:rPr>
          <w:rFonts w:cs="Arial"/>
        </w:rPr>
        <w:t>LearningTool</w:t>
      </w:r>
      <w:proofErr w:type="spellEnd"/>
      <w:r w:rsidRPr="00FD0B91">
        <w:rPr>
          <w:rFonts w:cs="Arial"/>
        </w:rPr>
        <w:t xml:space="preserve"> = 57.63, SE </w:t>
      </w:r>
      <w:proofErr w:type="gramStart"/>
      <w:r w:rsidRPr="00FD0B91">
        <w:rPr>
          <w:rFonts w:cs="Arial"/>
        </w:rPr>
        <w:t>=  2.53</w:t>
      </w:r>
      <w:proofErr w:type="gramEnd"/>
      <w:r w:rsidRPr="00FD0B91">
        <w:rPr>
          <w:rFonts w:cs="Arial"/>
        </w:rPr>
        <w:t xml:space="preserve">), who in turn, performed better than group one  (adjusted mean </w:t>
      </w:r>
      <w:proofErr w:type="spellStart"/>
      <w:r w:rsidRPr="00FD0B91">
        <w:rPr>
          <w:rFonts w:cs="Arial"/>
        </w:rPr>
        <w:t>LearningTool</w:t>
      </w:r>
      <w:proofErr w:type="spellEnd"/>
      <w:r w:rsidRPr="00FD0B91">
        <w:rPr>
          <w:rFonts w:cs="Arial"/>
        </w:rPr>
        <w:t xml:space="preserve"> = 49.27, SE = 3.00). </w:t>
      </w:r>
      <w:proofErr w:type="spellStart"/>
      <w:r w:rsidRPr="00FD0B91">
        <w:rPr>
          <w:rFonts w:cs="Arial"/>
        </w:rPr>
        <w:t>Univariate</w:t>
      </w:r>
      <w:proofErr w:type="spellEnd"/>
      <w:r w:rsidRPr="00FD0B91">
        <w:rPr>
          <w:rFonts w:cs="Arial"/>
        </w:rPr>
        <w:t xml:space="preserve"> analysis revealed that a statistically significant difference was also present in the Apply, Analyze and Evaluate measures.  Students in groups two and three performed better in all three measures than students in group one (adjusted mean Apply for group one = 2.66, SE = .12; adjusted mean Apply for group two = 2.94, SE = .11; adjusted mean Apply for group three = 3.07, SE = .11; adjusted mean Analyze for group one = 2.71, SE = .11; adjusted mean Analyze for group two = 3.12, SE = .11; adjusted mean Analyze for group three = 3.18, SE = .09; adjusted mean Evaluate for group one = 2.62, SE = .12; adjusted mean Evaluate for group two = 2.81, SE = .11; adjusted mean Evaluate for group three = 2.94, SE = .11).</w:t>
      </w:r>
    </w:p>
    <w:p w:rsidR="00372911" w:rsidRDefault="00372911" w:rsidP="00372911">
      <w:pPr>
        <w:spacing w:before="0" w:after="0"/>
        <w:rPr>
          <w:rFonts w:cs="Arial"/>
        </w:rPr>
      </w:pPr>
      <w:r w:rsidRPr="00FD0B91">
        <w:rPr>
          <w:rFonts w:cs="Arial"/>
        </w:rPr>
        <w:t xml:space="preserve">The multiple analysis of covariance did not indicate the presence of any statistically significant differences among the </w:t>
      </w:r>
      <w:proofErr w:type="spellStart"/>
      <w:r w:rsidRPr="00FD0B91">
        <w:rPr>
          <w:rFonts w:cs="Arial"/>
        </w:rPr>
        <w:t>LearningStyle</w:t>
      </w:r>
      <w:proofErr w:type="spellEnd"/>
      <w:r w:rsidRPr="00FD0B91">
        <w:rPr>
          <w:rFonts w:cs="Arial"/>
        </w:rPr>
        <w:t xml:space="preserve"> groups.  However, there was a significant interaction between </w:t>
      </w:r>
      <w:proofErr w:type="spellStart"/>
      <w:r w:rsidRPr="00FD0B91">
        <w:rPr>
          <w:rFonts w:cs="Arial"/>
        </w:rPr>
        <w:t>LearningTool</w:t>
      </w:r>
      <w:proofErr w:type="spellEnd"/>
      <w:r w:rsidRPr="00FD0B91">
        <w:rPr>
          <w:rFonts w:cs="Arial"/>
        </w:rPr>
        <w:t xml:space="preserve"> and </w:t>
      </w:r>
      <w:proofErr w:type="spellStart"/>
      <w:r w:rsidRPr="00FD0B91">
        <w:rPr>
          <w:rFonts w:cs="Arial"/>
        </w:rPr>
        <w:t>LearningStyle</w:t>
      </w:r>
      <w:proofErr w:type="spellEnd"/>
      <w:r w:rsidRPr="00FD0B91">
        <w:rPr>
          <w:rFonts w:cs="Arial"/>
        </w:rPr>
        <w:t xml:space="preserve"> with respect to Apply.  Students who preferred learning by hearing, lectures, tapes, speeches, etc. (</w:t>
      </w:r>
      <w:r w:rsidRPr="00FD0B91">
        <w:rPr>
          <w:rFonts w:cs="Arial"/>
          <w:i/>
        </w:rPr>
        <w:t>listening</w:t>
      </w:r>
      <w:r w:rsidRPr="00FD0B91">
        <w:rPr>
          <w:rFonts w:cs="Arial"/>
        </w:rPr>
        <w:t xml:space="preserve"> mode of learning) scored higher on Apply if they participated in the first group (adjusted mean = 2.97, SE = .18) than if they participated in the second (adjusted mean = 2.88, SE = .15) or third groups (adjusted mean = 2.76, SE = .23).  Students who preferred learning by examining, written information, reading texts, pamphlets, etc. (</w:t>
      </w:r>
      <w:r w:rsidRPr="00FD0B91">
        <w:rPr>
          <w:rFonts w:cs="Arial"/>
          <w:i/>
        </w:rPr>
        <w:t>reading</w:t>
      </w:r>
      <w:r w:rsidRPr="00FD0B91">
        <w:rPr>
          <w:rFonts w:cs="Arial"/>
        </w:rPr>
        <w:t xml:space="preserve"> mode of learning) scored higher on Apply if they participated in the third group (adjusted mean = 3.18, SE = .19) than if they participated in the second (adjusted mean = 2.92, SE = .22) or in the first groups (adjusted mean = 2.72, SE = .23).  Students who prefer learning by interpreting illustrations, movies, slides, graphs, etc. (</w:t>
      </w:r>
      <w:r w:rsidRPr="00FD0B91">
        <w:rPr>
          <w:rFonts w:cs="Arial"/>
          <w:i/>
        </w:rPr>
        <w:t>iconic</w:t>
      </w:r>
      <w:r w:rsidRPr="00FD0B91">
        <w:rPr>
          <w:rFonts w:cs="Arial"/>
        </w:rPr>
        <w:t xml:space="preserve"> mode of learning) scored higher on Apply if they participated in the second group (adjusted mean = 3.29, SE = .22) than if they participated in the third (adjusted mean = 2.76, SE = .20) or first groups (adjusted mean = 2.46, SE = .26).  Finally, students who preferred learning through direct experience and liked hands-on or performance situations, such as shop, lab, field trips, practice exercises, etc. (</w:t>
      </w:r>
      <w:r w:rsidRPr="00FD0B91">
        <w:rPr>
          <w:rFonts w:cs="Arial"/>
          <w:i/>
        </w:rPr>
        <w:t>direct experience</w:t>
      </w:r>
      <w:r w:rsidRPr="00FD0B91">
        <w:rPr>
          <w:rFonts w:cs="Arial"/>
        </w:rPr>
        <w:t xml:space="preserve"> mode of learning) scored higher on Apply if they participated in the third group (adjusted mean = 3.08, SE = .24) than if they participated in the second (adjusted mean = 2.94, SE = .17) or first groups (adjusted mean = 2.51, SE = .24). </w:t>
      </w:r>
    </w:p>
    <w:p w:rsidR="00372911" w:rsidRDefault="00372911" w:rsidP="00372911">
      <w:pPr>
        <w:rPr>
          <w:rFonts w:cs="Arial"/>
        </w:rPr>
      </w:pPr>
      <w:proofErr w:type="spellStart"/>
      <w:r w:rsidRPr="00FD0B91">
        <w:rPr>
          <w:rFonts w:cs="Arial"/>
        </w:rPr>
        <w:t>Univariate</w:t>
      </w:r>
      <w:proofErr w:type="spellEnd"/>
      <w:r w:rsidRPr="00FD0B91">
        <w:rPr>
          <w:rFonts w:cs="Arial"/>
        </w:rPr>
        <w:t xml:space="preserve"> analysis of </w:t>
      </w:r>
      <w:proofErr w:type="spellStart"/>
      <w:r w:rsidRPr="00FD0B91">
        <w:rPr>
          <w:rFonts w:cs="Arial"/>
        </w:rPr>
        <w:t>LearningTool</w:t>
      </w:r>
      <w:proofErr w:type="spellEnd"/>
      <w:r w:rsidRPr="00FD0B91">
        <w:rPr>
          <w:rFonts w:cs="Arial"/>
        </w:rPr>
        <w:t xml:space="preserve"> by Learning Style indicated that only differences in Apply and Evaluate were statistically significant.  Students with preference for the </w:t>
      </w:r>
      <w:r w:rsidRPr="00FD0B91">
        <w:rPr>
          <w:rFonts w:cs="Arial"/>
          <w:i/>
        </w:rPr>
        <w:t>listening</w:t>
      </w:r>
      <w:r w:rsidRPr="00FD0B91">
        <w:rPr>
          <w:rFonts w:cs="Arial"/>
        </w:rPr>
        <w:t xml:space="preserve"> mode of learning scored higher on Apply if they participated in the first group (adjusted mean = 2.98, SE = .18) than if they participated in the second (adjusted mean = 2.89, SE = .22) or third groups (adjusted mean = 2.77, SE = .19).  Students who had preference for the </w:t>
      </w:r>
      <w:r w:rsidRPr="00FD0B91">
        <w:rPr>
          <w:rFonts w:cs="Arial"/>
          <w:i/>
        </w:rPr>
        <w:t>reading</w:t>
      </w:r>
      <w:r w:rsidRPr="00FD0B91">
        <w:rPr>
          <w:rFonts w:cs="Arial"/>
        </w:rPr>
        <w:t xml:space="preserve"> mode of learning scored higher on Apply if they participated in the third group (adjusted mean = 3.19, SE = .19) than if they participated in the second (adjusted mean = 2.94, SE = .17) or first groups (adjusted mean = 2.74, SE = .19).  Students who preferred the </w:t>
      </w:r>
      <w:r w:rsidRPr="00FD0B91">
        <w:rPr>
          <w:rFonts w:cs="Arial"/>
          <w:i/>
        </w:rPr>
        <w:t>iconic</w:t>
      </w:r>
      <w:r w:rsidRPr="00FD0B91">
        <w:rPr>
          <w:rFonts w:cs="Arial"/>
        </w:rPr>
        <w:t xml:space="preserve"> mode of learning scored higher on Apply if they participated in the second group (adjusted mean = 3.31, SE = .15) than if they participated in the third (adjusted mean = 2.78, SE = .16) or first groups (adjusted mean = 2.47, SE = .18).  Finally, students who preferred the </w:t>
      </w:r>
      <w:r w:rsidRPr="00FD0B91">
        <w:rPr>
          <w:rFonts w:cs="Arial"/>
          <w:i/>
        </w:rPr>
        <w:t>direct experience</w:t>
      </w:r>
      <w:r w:rsidRPr="00FD0B91">
        <w:rPr>
          <w:rFonts w:cs="Arial"/>
        </w:rPr>
        <w:t xml:space="preserve"> mode of learning scored higher on Apply if they participated in the third group (adjusted mean = 3.10, SE = .22) than if they participated in the second (adjusted mean = 2.95, SE = .18) or first groups (adjusted mean = 2.52, SE = .16).  The </w:t>
      </w:r>
      <w:proofErr w:type="spellStart"/>
      <w:r w:rsidRPr="00FD0B91">
        <w:rPr>
          <w:rFonts w:cs="Arial"/>
        </w:rPr>
        <w:t>univariate</w:t>
      </w:r>
      <w:proofErr w:type="spellEnd"/>
      <w:r w:rsidRPr="00FD0B91">
        <w:rPr>
          <w:rFonts w:cs="Arial"/>
        </w:rPr>
        <w:t xml:space="preserve"> differences in Evaluate show that students with a preference for the </w:t>
      </w:r>
      <w:r w:rsidRPr="00FD0B91">
        <w:rPr>
          <w:rFonts w:cs="Arial"/>
          <w:i/>
        </w:rPr>
        <w:t>listening</w:t>
      </w:r>
      <w:r w:rsidRPr="00FD0B91">
        <w:rPr>
          <w:rFonts w:cs="Arial"/>
        </w:rPr>
        <w:t xml:space="preserve"> mode of learning scored higher on Evaluate if they participated in the first group (adjusted mean = 2.92, SE = .16) than if they participated in the second (adjusted mean = 2.88, SE = .22) or third groups (adjusted mean = 2.37, SE = .19).  Students who had a preference for the </w:t>
      </w:r>
      <w:r w:rsidRPr="00FD0B91">
        <w:rPr>
          <w:rFonts w:cs="Arial"/>
          <w:i/>
        </w:rPr>
        <w:t>reading</w:t>
      </w:r>
      <w:r w:rsidRPr="00FD0B91">
        <w:rPr>
          <w:rFonts w:cs="Arial"/>
        </w:rPr>
        <w:t xml:space="preserve"> mode of learning scored higher on Evaluate if they participated in the second group (adjusted mean = 2.88, SE = .17) than if they participated in the third (adjusted mean = 2.82, SE = .19) or first groups (adjusted mean = 2.37, SE = .19).  Students who preferred the </w:t>
      </w:r>
      <w:r w:rsidRPr="00FD0B91">
        <w:rPr>
          <w:rFonts w:cs="Arial"/>
          <w:i/>
        </w:rPr>
        <w:t>iconic</w:t>
      </w:r>
      <w:r w:rsidRPr="00FD0B91">
        <w:rPr>
          <w:rFonts w:cs="Arial"/>
        </w:rPr>
        <w:t xml:space="preserve"> mode of learning scored higher on Evaluate if they participated in the second group (adjusted mean = 3.11, SE = .15) than if they participated in the third (adjusted mean = 2.84, SE = .16) or first groups (adjusted mean = 2.72, SE = .18).  Finally, students who preferred the </w:t>
      </w:r>
      <w:r w:rsidRPr="00FD0B91">
        <w:rPr>
          <w:rFonts w:cs="Arial"/>
          <w:i/>
        </w:rPr>
        <w:t>direct experience</w:t>
      </w:r>
      <w:r w:rsidRPr="00FD0B91">
        <w:rPr>
          <w:rFonts w:cs="Arial"/>
        </w:rPr>
        <w:t xml:space="preserve"> mode of learning scored higher on Apply if they participated in the third group (adjusted mean = 3.35, SE = .22) than if they participated in the second (adjusted mean = 2.76, SE = .19) or first groups (adjusted mea</w:t>
      </w:r>
      <w:r w:rsidR="00BE2BB0">
        <w:rPr>
          <w:rFonts w:cs="Arial"/>
        </w:rPr>
        <w:t>n = 2.47, SE = .16).</w:t>
      </w:r>
    </w:p>
    <w:p w:rsidR="00372911" w:rsidRDefault="00372911" w:rsidP="00372911">
      <w:pPr>
        <w:rPr>
          <w:rFonts w:cs="Arial"/>
        </w:rPr>
      </w:pPr>
      <w:r w:rsidRPr="00FD0B91">
        <w:rPr>
          <w:rFonts w:cs="Arial"/>
        </w:rPr>
        <w:t xml:space="preserve">A direct discriminant analysis was performed as a follow up to the significant effect of </w:t>
      </w:r>
      <w:proofErr w:type="spellStart"/>
      <w:r w:rsidRPr="00277C97">
        <w:rPr>
          <w:rFonts w:cs="Arial"/>
        </w:rPr>
        <w:t>LearningTool</w:t>
      </w:r>
      <w:proofErr w:type="spellEnd"/>
      <w:r w:rsidRPr="00FD0B91">
        <w:rPr>
          <w:rFonts w:cs="Arial"/>
        </w:rPr>
        <w:t xml:space="preserve"> using Posttest, Apply, Analyze, Evaluate and Create as predictors of membership in three groups. Only one discriminant function was calculated, with an </w:t>
      </w:r>
      <w:proofErr w:type="gramStart"/>
      <w:r w:rsidRPr="00FD0B91">
        <w:rPr>
          <w:rFonts w:cs="Arial"/>
        </w:rPr>
        <w:t>F(</w:t>
      </w:r>
      <w:proofErr w:type="gramEnd"/>
      <w:r w:rsidRPr="00FD0B91">
        <w:rPr>
          <w:rFonts w:cs="Arial"/>
        </w:rPr>
        <w:t xml:space="preserve">2,161) = 7.86, p &lt; .01, </w:t>
      </w:r>
      <w:r w:rsidRPr="00FD0B91">
        <w:rPr>
          <w:bCs/>
          <w:sz w:val="26"/>
          <w:szCs w:val="26"/>
        </w:rPr>
        <w:t>η</w:t>
      </w:r>
      <w:r w:rsidRPr="00FD0B91">
        <w:rPr>
          <w:sz w:val="26"/>
          <w:szCs w:val="26"/>
          <w:vertAlign w:val="superscript"/>
        </w:rPr>
        <w:t xml:space="preserve">2 </w:t>
      </w:r>
      <w:r w:rsidRPr="00FD0B91">
        <w:rPr>
          <w:rFonts w:cs="Arial"/>
        </w:rPr>
        <w:t xml:space="preserve">= .09.  Posttest was the best predictor that significantly distinguished the first group from the second (F = 5.42, p &lt; .05) and the third groups (F = 15.52, p &lt; .01). </w:t>
      </w:r>
    </w:p>
    <w:p w:rsidR="00372911" w:rsidRPr="00FD0B91" w:rsidRDefault="00372911" w:rsidP="00372911">
      <w:pPr>
        <w:pStyle w:val="Heading5"/>
      </w:pPr>
      <w:r w:rsidRPr="00FD0B91">
        <w:t xml:space="preserve">Table </w:t>
      </w:r>
      <w:r>
        <w:t>3</w:t>
      </w:r>
    </w:p>
    <w:p w:rsidR="00372911" w:rsidRPr="004077CD" w:rsidRDefault="00372911" w:rsidP="00372911">
      <w:pPr>
        <w:pStyle w:val="Heading5"/>
      </w:pPr>
      <w:r w:rsidRPr="004077CD">
        <w:t xml:space="preserve">Mean Scores for the Pretest and Dependent Variables </w:t>
      </w:r>
      <w:r w:rsidRPr="004077CD">
        <w:br/>
        <w:t xml:space="preserve">(unadjusted and adjusted) by </w:t>
      </w:r>
      <w:proofErr w:type="spellStart"/>
      <w:r w:rsidRPr="004077CD">
        <w:t>LearningTool</w:t>
      </w:r>
      <w:proofErr w:type="spellEnd"/>
      <w:r w:rsidRPr="004077CD">
        <w:t>.</w:t>
      </w:r>
    </w:p>
    <w:tbl>
      <w:tblPr>
        <w:tblW w:w="5000" w:type="pct"/>
        <w:tblBorders>
          <w:top w:val="single" w:sz="4" w:space="0" w:color="auto"/>
          <w:bottom w:val="single" w:sz="4" w:space="0" w:color="auto"/>
        </w:tblBorders>
        <w:tblLook w:val="04A0" w:firstRow="1" w:lastRow="0" w:firstColumn="1" w:lastColumn="0" w:noHBand="0" w:noVBand="1"/>
      </w:tblPr>
      <w:tblGrid>
        <w:gridCol w:w="1152"/>
        <w:gridCol w:w="1987"/>
        <w:gridCol w:w="1906"/>
        <w:gridCol w:w="1911"/>
        <w:gridCol w:w="1900"/>
      </w:tblGrid>
      <w:tr w:rsidR="00372911" w:rsidRPr="00FD0B91" w:rsidTr="00372911">
        <w:trPr>
          <w:trHeight w:val="379"/>
        </w:trPr>
        <w:tc>
          <w:tcPr>
            <w:tcW w:w="1772" w:type="pct"/>
            <w:gridSpan w:val="2"/>
            <w:vMerge w:val="restart"/>
            <w:tcBorders>
              <w:top w:val="single" w:sz="4" w:space="0" w:color="auto"/>
              <w:tl2br w:val="nil"/>
            </w:tcBorders>
            <w:vAlign w:val="center"/>
          </w:tcPr>
          <w:p w:rsidR="00372911" w:rsidRPr="00F55E67" w:rsidRDefault="00372911" w:rsidP="004077CD">
            <w:pPr>
              <w:spacing w:after="60"/>
              <w:jc w:val="center"/>
              <w:rPr>
                <w:rFonts w:asciiTheme="majorHAnsi" w:hAnsiTheme="majorHAnsi" w:cstheme="majorHAnsi"/>
                <w:b/>
                <w:sz w:val="20"/>
              </w:rPr>
            </w:pPr>
            <w:r w:rsidRPr="00F55E67">
              <w:rPr>
                <w:rFonts w:asciiTheme="majorHAnsi" w:hAnsiTheme="majorHAnsi" w:cstheme="majorHAnsi"/>
                <w:b/>
                <w:sz w:val="20"/>
              </w:rPr>
              <w:t>Test</w:t>
            </w:r>
          </w:p>
        </w:tc>
        <w:tc>
          <w:tcPr>
            <w:tcW w:w="3228" w:type="pct"/>
            <w:gridSpan w:val="3"/>
            <w:tcBorders>
              <w:top w:val="single" w:sz="4" w:space="0" w:color="auto"/>
              <w:bottom w:val="single" w:sz="4" w:space="0" w:color="auto"/>
            </w:tcBorders>
            <w:vAlign w:val="center"/>
          </w:tcPr>
          <w:p w:rsidR="00372911" w:rsidRPr="00F55E67" w:rsidRDefault="00372911" w:rsidP="004077CD">
            <w:pPr>
              <w:spacing w:after="60"/>
              <w:jc w:val="center"/>
              <w:rPr>
                <w:rFonts w:asciiTheme="majorHAnsi" w:hAnsiTheme="majorHAnsi" w:cstheme="majorHAnsi"/>
                <w:b/>
                <w:sz w:val="20"/>
              </w:rPr>
            </w:pPr>
            <w:proofErr w:type="spellStart"/>
            <w:r w:rsidRPr="00F55E67">
              <w:rPr>
                <w:rFonts w:asciiTheme="majorHAnsi" w:hAnsiTheme="majorHAnsi" w:cstheme="majorHAnsi"/>
                <w:b/>
                <w:sz w:val="20"/>
              </w:rPr>
              <w:t>LearningTool</w:t>
            </w:r>
            <w:proofErr w:type="spellEnd"/>
          </w:p>
        </w:tc>
      </w:tr>
      <w:tr w:rsidR="00372911" w:rsidRPr="00FD0B91" w:rsidTr="00372911">
        <w:trPr>
          <w:trHeight w:val="378"/>
        </w:trPr>
        <w:tc>
          <w:tcPr>
            <w:tcW w:w="1772" w:type="pct"/>
            <w:gridSpan w:val="2"/>
            <w:vMerge/>
            <w:tcBorders>
              <w:bottom w:val="single" w:sz="4" w:space="0" w:color="auto"/>
              <w:tl2br w:val="nil"/>
            </w:tcBorders>
            <w:vAlign w:val="center"/>
          </w:tcPr>
          <w:p w:rsidR="00372911" w:rsidRPr="00F55E67" w:rsidRDefault="00372911" w:rsidP="004077CD">
            <w:pPr>
              <w:spacing w:after="60"/>
              <w:jc w:val="center"/>
              <w:rPr>
                <w:rFonts w:asciiTheme="majorHAnsi" w:hAnsiTheme="majorHAnsi" w:cstheme="majorHAnsi"/>
                <w:b/>
                <w:sz w:val="20"/>
              </w:rPr>
            </w:pPr>
          </w:p>
        </w:tc>
        <w:tc>
          <w:tcPr>
            <w:tcW w:w="1076" w:type="pct"/>
            <w:tcBorders>
              <w:top w:val="single" w:sz="4" w:space="0" w:color="auto"/>
              <w:bottom w:val="single" w:sz="4" w:space="0" w:color="auto"/>
            </w:tcBorders>
            <w:vAlign w:val="center"/>
          </w:tcPr>
          <w:p w:rsidR="00372911" w:rsidRPr="00F55E67" w:rsidRDefault="00372911" w:rsidP="004077CD">
            <w:pPr>
              <w:spacing w:after="60"/>
              <w:jc w:val="center"/>
              <w:rPr>
                <w:rFonts w:asciiTheme="majorHAnsi" w:hAnsiTheme="majorHAnsi" w:cstheme="majorHAnsi"/>
                <w:b/>
                <w:sz w:val="20"/>
              </w:rPr>
            </w:pPr>
            <w:r w:rsidRPr="00F55E67">
              <w:rPr>
                <w:rFonts w:asciiTheme="majorHAnsi" w:hAnsiTheme="majorHAnsi" w:cstheme="majorHAnsi"/>
                <w:b/>
                <w:sz w:val="20"/>
              </w:rPr>
              <w:t>Essays</w:t>
            </w:r>
          </w:p>
        </w:tc>
        <w:tc>
          <w:tcPr>
            <w:tcW w:w="1079" w:type="pct"/>
            <w:tcBorders>
              <w:top w:val="single" w:sz="4" w:space="0" w:color="auto"/>
              <w:bottom w:val="single" w:sz="4" w:space="0" w:color="auto"/>
            </w:tcBorders>
            <w:vAlign w:val="center"/>
          </w:tcPr>
          <w:p w:rsidR="00372911" w:rsidRPr="00F55E67" w:rsidRDefault="00372911" w:rsidP="004077CD">
            <w:pPr>
              <w:spacing w:after="60"/>
              <w:jc w:val="center"/>
              <w:rPr>
                <w:rFonts w:asciiTheme="majorHAnsi" w:hAnsiTheme="majorHAnsi" w:cstheme="majorHAnsi"/>
                <w:b/>
                <w:sz w:val="20"/>
              </w:rPr>
            </w:pPr>
            <w:r w:rsidRPr="00F55E67">
              <w:rPr>
                <w:rFonts w:asciiTheme="majorHAnsi" w:hAnsiTheme="majorHAnsi" w:cstheme="majorHAnsi"/>
                <w:b/>
                <w:sz w:val="20"/>
              </w:rPr>
              <w:t>Graphic Organizers</w:t>
            </w:r>
          </w:p>
        </w:tc>
        <w:tc>
          <w:tcPr>
            <w:tcW w:w="1073" w:type="pct"/>
            <w:tcBorders>
              <w:top w:val="single" w:sz="4" w:space="0" w:color="auto"/>
              <w:bottom w:val="single" w:sz="4" w:space="0" w:color="auto"/>
            </w:tcBorders>
            <w:vAlign w:val="center"/>
          </w:tcPr>
          <w:p w:rsidR="00372911" w:rsidRPr="00F55E67" w:rsidRDefault="00372911" w:rsidP="004077CD">
            <w:pPr>
              <w:spacing w:after="60"/>
              <w:jc w:val="center"/>
              <w:rPr>
                <w:rFonts w:asciiTheme="majorHAnsi" w:hAnsiTheme="majorHAnsi" w:cstheme="majorHAnsi"/>
                <w:b/>
                <w:sz w:val="20"/>
              </w:rPr>
            </w:pPr>
            <w:r w:rsidRPr="00F55E67">
              <w:rPr>
                <w:rFonts w:asciiTheme="majorHAnsi" w:hAnsiTheme="majorHAnsi" w:cstheme="majorHAnsi"/>
                <w:b/>
                <w:sz w:val="20"/>
              </w:rPr>
              <w:t>N-Dimensional Organizers</w:t>
            </w:r>
          </w:p>
        </w:tc>
      </w:tr>
      <w:tr w:rsidR="00372911" w:rsidRPr="00FD0B91" w:rsidTr="00372911">
        <w:tc>
          <w:tcPr>
            <w:tcW w:w="1772" w:type="pct"/>
            <w:gridSpan w:val="2"/>
            <w:tcBorders>
              <w:top w:val="single" w:sz="4" w:space="0" w:color="auto"/>
            </w:tcBorders>
          </w:tcPr>
          <w:p w:rsidR="00372911" w:rsidRPr="00FD0B91" w:rsidRDefault="00372911" w:rsidP="004077CD">
            <w:pPr>
              <w:spacing w:after="60"/>
              <w:rPr>
                <w:rFonts w:cs="Arial"/>
              </w:rPr>
            </w:pPr>
            <w:r w:rsidRPr="00FD0B91">
              <w:rPr>
                <w:rFonts w:cs="Arial"/>
              </w:rPr>
              <w:t>Pretest</w:t>
            </w:r>
          </w:p>
        </w:tc>
        <w:tc>
          <w:tcPr>
            <w:tcW w:w="1076" w:type="pct"/>
            <w:tcBorders>
              <w:top w:val="single" w:sz="4" w:space="0" w:color="auto"/>
            </w:tcBorders>
            <w:vAlign w:val="center"/>
          </w:tcPr>
          <w:p w:rsidR="00372911" w:rsidRPr="00FD0B91" w:rsidRDefault="00372911" w:rsidP="004077CD">
            <w:pPr>
              <w:spacing w:after="60"/>
              <w:jc w:val="center"/>
              <w:rPr>
                <w:rFonts w:cs="Arial"/>
              </w:rPr>
            </w:pPr>
            <w:r w:rsidRPr="00FD0B91">
              <w:rPr>
                <w:rFonts w:cs="Arial"/>
              </w:rPr>
              <w:t>4.84</w:t>
            </w:r>
          </w:p>
        </w:tc>
        <w:tc>
          <w:tcPr>
            <w:tcW w:w="1079" w:type="pct"/>
            <w:tcBorders>
              <w:top w:val="single" w:sz="4" w:space="0" w:color="auto"/>
            </w:tcBorders>
            <w:vAlign w:val="center"/>
          </w:tcPr>
          <w:p w:rsidR="00372911" w:rsidRPr="00FD0B91" w:rsidRDefault="00372911" w:rsidP="004077CD">
            <w:pPr>
              <w:spacing w:after="60"/>
              <w:jc w:val="center"/>
              <w:rPr>
                <w:rFonts w:cs="Arial"/>
              </w:rPr>
            </w:pPr>
            <w:r w:rsidRPr="00FD0B91">
              <w:rPr>
                <w:rFonts w:cs="Arial"/>
              </w:rPr>
              <w:t>4.88</w:t>
            </w:r>
          </w:p>
        </w:tc>
        <w:tc>
          <w:tcPr>
            <w:tcW w:w="1073" w:type="pct"/>
            <w:tcBorders>
              <w:top w:val="single" w:sz="4" w:space="0" w:color="auto"/>
            </w:tcBorders>
            <w:vAlign w:val="center"/>
          </w:tcPr>
          <w:p w:rsidR="00372911" w:rsidRPr="00FD0B91" w:rsidRDefault="00372911" w:rsidP="004077CD">
            <w:pPr>
              <w:spacing w:after="60"/>
              <w:jc w:val="center"/>
              <w:rPr>
                <w:rFonts w:cs="Arial"/>
              </w:rPr>
            </w:pPr>
            <w:r w:rsidRPr="00FD0B91">
              <w:rPr>
                <w:rFonts w:cs="Arial"/>
              </w:rPr>
              <w:t>5.75</w:t>
            </w:r>
          </w:p>
        </w:tc>
      </w:tr>
      <w:tr w:rsidR="00372911" w:rsidRPr="00FD0B91" w:rsidTr="00372911">
        <w:trPr>
          <w:trHeight w:val="129"/>
        </w:trPr>
        <w:tc>
          <w:tcPr>
            <w:tcW w:w="650" w:type="pct"/>
            <w:vMerge w:val="restart"/>
          </w:tcPr>
          <w:p w:rsidR="00372911" w:rsidRPr="00FD0B91" w:rsidRDefault="00372911" w:rsidP="004077CD">
            <w:pPr>
              <w:spacing w:after="60"/>
              <w:rPr>
                <w:rFonts w:cs="Arial"/>
              </w:rPr>
            </w:pPr>
            <w:r w:rsidRPr="00FD0B91">
              <w:rPr>
                <w:rFonts w:cs="Arial"/>
              </w:rPr>
              <w:t>Posttest</w:t>
            </w:r>
          </w:p>
        </w:tc>
        <w:tc>
          <w:tcPr>
            <w:tcW w:w="1122" w:type="pct"/>
          </w:tcPr>
          <w:p w:rsidR="00372911" w:rsidRPr="00FD0B91" w:rsidRDefault="00372911" w:rsidP="004077CD">
            <w:pPr>
              <w:spacing w:after="60"/>
              <w:rPr>
                <w:rFonts w:cs="Arial"/>
              </w:rPr>
            </w:pPr>
            <w:r w:rsidRPr="00FD0B91">
              <w:rPr>
                <w:rFonts w:cs="Arial"/>
              </w:rPr>
              <w:t>unadjusted</w:t>
            </w:r>
          </w:p>
        </w:tc>
        <w:tc>
          <w:tcPr>
            <w:tcW w:w="1076" w:type="pct"/>
            <w:vAlign w:val="center"/>
          </w:tcPr>
          <w:p w:rsidR="00372911" w:rsidRPr="00FD0B91" w:rsidRDefault="00372911" w:rsidP="004077CD">
            <w:pPr>
              <w:spacing w:after="60"/>
              <w:jc w:val="center"/>
              <w:rPr>
                <w:rFonts w:cs="Arial"/>
              </w:rPr>
            </w:pPr>
            <w:r w:rsidRPr="00FD0B91">
              <w:rPr>
                <w:rFonts w:cs="Arial"/>
              </w:rPr>
              <w:t>47.03</w:t>
            </w:r>
          </w:p>
        </w:tc>
        <w:tc>
          <w:tcPr>
            <w:tcW w:w="1079" w:type="pct"/>
            <w:vAlign w:val="center"/>
          </w:tcPr>
          <w:p w:rsidR="00372911" w:rsidRPr="00FD0B91" w:rsidRDefault="00372911" w:rsidP="004077CD">
            <w:pPr>
              <w:spacing w:after="60"/>
              <w:jc w:val="center"/>
              <w:rPr>
                <w:rFonts w:cs="Arial"/>
              </w:rPr>
            </w:pPr>
            <w:r w:rsidRPr="00FD0B91">
              <w:rPr>
                <w:rFonts w:cs="Arial"/>
              </w:rPr>
              <w:t>55.68</w:t>
            </w:r>
          </w:p>
        </w:tc>
        <w:tc>
          <w:tcPr>
            <w:tcW w:w="1073" w:type="pct"/>
            <w:vAlign w:val="center"/>
          </w:tcPr>
          <w:p w:rsidR="00372911" w:rsidRPr="00FD0B91" w:rsidRDefault="00372911" w:rsidP="004077CD">
            <w:pPr>
              <w:spacing w:after="60"/>
              <w:jc w:val="center"/>
              <w:rPr>
                <w:rFonts w:cs="Arial"/>
              </w:rPr>
            </w:pPr>
            <w:r w:rsidRPr="00FD0B91">
              <w:rPr>
                <w:rFonts w:cs="Arial"/>
              </w:rPr>
              <w:t>62.08</w:t>
            </w:r>
          </w:p>
        </w:tc>
      </w:tr>
      <w:tr w:rsidR="00372911" w:rsidRPr="00FD0B91" w:rsidTr="00372911">
        <w:trPr>
          <w:trHeight w:val="129"/>
        </w:trPr>
        <w:tc>
          <w:tcPr>
            <w:tcW w:w="650" w:type="pct"/>
            <w:vMerge/>
          </w:tcPr>
          <w:p w:rsidR="00372911" w:rsidRPr="00FD0B91" w:rsidRDefault="00372911" w:rsidP="004077CD">
            <w:pPr>
              <w:spacing w:after="60"/>
              <w:rPr>
                <w:rFonts w:cs="Arial"/>
              </w:rPr>
            </w:pPr>
          </w:p>
        </w:tc>
        <w:tc>
          <w:tcPr>
            <w:tcW w:w="1122" w:type="pct"/>
          </w:tcPr>
          <w:p w:rsidR="00372911" w:rsidRPr="00FD0B91" w:rsidRDefault="00372911" w:rsidP="004077CD">
            <w:pPr>
              <w:spacing w:after="60"/>
              <w:rPr>
                <w:rFonts w:cs="Arial"/>
              </w:rPr>
            </w:pPr>
            <w:r w:rsidRPr="00FD0B91">
              <w:rPr>
                <w:rFonts w:cs="Arial"/>
              </w:rPr>
              <w:t>adjusted</w:t>
            </w:r>
          </w:p>
        </w:tc>
        <w:tc>
          <w:tcPr>
            <w:tcW w:w="1076" w:type="pct"/>
            <w:vAlign w:val="center"/>
          </w:tcPr>
          <w:p w:rsidR="00372911" w:rsidRPr="00FD0B91" w:rsidRDefault="00372911" w:rsidP="004077CD">
            <w:pPr>
              <w:spacing w:after="60"/>
              <w:jc w:val="center"/>
              <w:rPr>
                <w:rFonts w:cs="Arial"/>
              </w:rPr>
            </w:pPr>
            <w:r w:rsidRPr="00FD0B91">
              <w:rPr>
                <w:rFonts w:cs="Arial"/>
              </w:rPr>
              <w:t>49.27</w:t>
            </w:r>
          </w:p>
        </w:tc>
        <w:tc>
          <w:tcPr>
            <w:tcW w:w="1079" w:type="pct"/>
            <w:vAlign w:val="center"/>
          </w:tcPr>
          <w:p w:rsidR="00372911" w:rsidRPr="00FD0B91" w:rsidRDefault="00372911" w:rsidP="004077CD">
            <w:pPr>
              <w:spacing w:after="60"/>
              <w:jc w:val="center"/>
              <w:rPr>
                <w:rFonts w:cs="Arial"/>
              </w:rPr>
            </w:pPr>
            <w:r w:rsidRPr="00FD0B91">
              <w:rPr>
                <w:rFonts w:cs="Arial"/>
              </w:rPr>
              <w:t>57.63</w:t>
            </w:r>
          </w:p>
        </w:tc>
        <w:tc>
          <w:tcPr>
            <w:tcW w:w="1073" w:type="pct"/>
            <w:vAlign w:val="center"/>
          </w:tcPr>
          <w:p w:rsidR="00372911" w:rsidRPr="00FD0B91" w:rsidRDefault="00372911" w:rsidP="004077CD">
            <w:pPr>
              <w:spacing w:after="60"/>
              <w:jc w:val="center"/>
              <w:rPr>
                <w:rFonts w:cs="Arial"/>
              </w:rPr>
            </w:pPr>
            <w:r w:rsidRPr="00FD0B91">
              <w:rPr>
                <w:rFonts w:cs="Arial"/>
              </w:rPr>
              <w:t>57.92</w:t>
            </w:r>
          </w:p>
        </w:tc>
      </w:tr>
      <w:tr w:rsidR="00372911" w:rsidRPr="00FD0B91" w:rsidTr="00372911">
        <w:trPr>
          <w:trHeight w:val="129"/>
        </w:trPr>
        <w:tc>
          <w:tcPr>
            <w:tcW w:w="650" w:type="pct"/>
            <w:vMerge w:val="restart"/>
          </w:tcPr>
          <w:p w:rsidR="00372911" w:rsidRPr="00FD0B91" w:rsidRDefault="00372911" w:rsidP="004077CD">
            <w:pPr>
              <w:spacing w:after="60"/>
              <w:rPr>
                <w:rFonts w:cs="Arial"/>
              </w:rPr>
            </w:pPr>
            <w:r w:rsidRPr="00FD0B91">
              <w:rPr>
                <w:rFonts w:cs="Arial"/>
              </w:rPr>
              <w:t>Apply</w:t>
            </w:r>
          </w:p>
        </w:tc>
        <w:tc>
          <w:tcPr>
            <w:tcW w:w="1122" w:type="pct"/>
          </w:tcPr>
          <w:p w:rsidR="00372911" w:rsidRPr="00FD0B91" w:rsidRDefault="00372911" w:rsidP="004077CD">
            <w:pPr>
              <w:spacing w:after="60"/>
              <w:rPr>
                <w:rFonts w:cs="Arial"/>
              </w:rPr>
            </w:pPr>
            <w:r w:rsidRPr="00FD0B91">
              <w:rPr>
                <w:rFonts w:cs="Arial"/>
              </w:rPr>
              <w:t>unadjusted</w:t>
            </w:r>
          </w:p>
        </w:tc>
        <w:tc>
          <w:tcPr>
            <w:tcW w:w="1076" w:type="pct"/>
            <w:vAlign w:val="center"/>
          </w:tcPr>
          <w:p w:rsidR="00372911" w:rsidRPr="00FD0B91" w:rsidRDefault="00372911" w:rsidP="004077CD">
            <w:pPr>
              <w:spacing w:after="60"/>
              <w:jc w:val="center"/>
              <w:rPr>
                <w:rFonts w:cs="Arial"/>
              </w:rPr>
            </w:pPr>
            <w:r w:rsidRPr="00FD0B91">
              <w:rPr>
                <w:rFonts w:cs="Arial"/>
              </w:rPr>
              <w:t>2.59</w:t>
            </w:r>
          </w:p>
        </w:tc>
        <w:tc>
          <w:tcPr>
            <w:tcW w:w="1079" w:type="pct"/>
            <w:vAlign w:val="center"/>
          </w:tcPr>
          <w:p w:rsidR="00372911" w:rsidRPr="00FD0B91" w:rsidRDefault="00372911" w:rsidP="004077CD">
            <w:pPr>
              <w:spacing w:after="60"/>
              <w:jc w:val="center"/>
              <w:rPr>
                <w:rFonts w:cs="Arial"/>
              </w:rPr>
            </w:pPr>
            <w:r w:rsidRPr="00FD0B91">
              <w:rPr>
                <w:rFonts w:cs="Arial"/>
              </w:rPr>
              <w:t>3.00</w:t>
            </w:r>
          </w:p>
        </w:tc>
        <w:tc>
          <w:tcPr>
            <w:tcW w:w="1073" w:type="pct"/>
            <w:vAlign w:val="center"/>
          </w:tcPr>
          <w:p w:rsidR="00372911" w:rsidRPr="00FD0B91" w:rsidRDefault="00372911" w:rsidP="004077CD">
            <w:pPr>
              <w:spacing w:after="60"/>
              <w:jc w:val="center"/>
              <w:rPr>
                <w:rFonts w:cs="Arial"/>
              </w:rPr>
            </w:pPr>
            <w:r w:rsidRPr="00FD0B91">
              <w:rPr>
                <w:rFonts w:cs="Arial"/>
              </w:rPr>
              <w:t>3.08</w:t>
            </w:r>
          </w:p>
        </w:tc>
      </w:tr>
      <w:tr w:rsidR="00372911" w:rsidRPr="00FD0B91" w:rsidTr="00372911">
        <w:trPr>
          <w:trHeight w:val="129"/>
        </w:trPr>
        <w:tc>
          <w:tcPr>
            <w:tcW w:w="650" w:type="pct"/>
            <w:vMerge/>
          </w:tcPr>
          <w:p w:rsidR="00372911" w:rsidRPr="00FD0B91" w:rsidRDefault="00372911" w:rsidP="004077CD">
            <w:pPr>
              <w:spacing w:after="60"/>
              <w:rPr>
                <w:rFonts w:cs="Arial"/>
              </w:rPr>
            </w:pPr>
          </w:p>
        </w:tc>
        <w:tc>
          <w:tcPr>
            <w:tcW w:w="1122" w:type="pct"/>
          </w:tcPr>
          <w:p w:rsidR="00372911" w:rsidRPr="00FD0B91" w:rsidRDefault="00372911" w:rsidP="004077CD">
            <w:pPr>
              <w:spacing w:after="60"/>
              <w:rPr>
                <w:rFonts w:cs="Arial"/>
              </w:rPr>
            </w:pPr>
            <w:r w:rsidRPr="00FD0B91">
              <w:rPr>
                <w:rFonts w:cs="Arial"/>
              </w:rPr>
              <w:t>adjusted</w:t>
            </w:r>
          </w:p>
        </w:tc>
        <w:tc>
          <w:tcPr>
            <w:tcW w:w="1076" w:type="pct"/>
            <w:vAlign w:val="center"/>
          </w:tcPr>
          <w:p w:rsidR="00372911" w:rsidRPr="00FD0B91" w:rsidRDefault="00372911" w:rsidP="004077CD">
            <w:pPr>
              <w:spacing w:after="60"/>
              <w:jc w:val="center"/>
              <w:rPr>
                <w:rFonts w:cs="Arial"/>
              </w:rPr>
            </w:pPr>
            <w:r w:rsidRPr="00FD0B91">
              <w:rPr>
                <w:rFonts w:cs="Arial"/>
              </w:rPr>
              <w:t>2.66</w:t>
            </w:r>
          </w:p>
        </w:tc>
        <w:tc>
          <w:tcPr>
            <w:tcW w:w="1079" w:type="pct"/>
            <w:vAlign w:val="center"/>
          </w:tcPr>
          <w:p w:rsidR="00372911" w:rsidRPr="00FD0B91" w:rsidRDefault="00372911" w:rsidP="004077CD">
            <w:pPr>
              <w:spacing w:after="60"/>
              <w:jc w:val="center"/>
              <w:rPr>
                <w:rFonts w:cs="Arial"/>
              </w:rPr>
            </w:pPr>
            <w:r w:rsidRPr="00FD0B91">
              <w:rPr>
                <w:rFonts w:cs="Arial"/>
              </w:rPr>
              <w:t>3.07</w:t>
            </w:r>
          </w:p>
        </w:tc>
        <w:tc>
          <w:tcPr>
            <w:tcW w:w="1073" w:type="pct"/>
            <w:vAlign w:val="center"/>
          </w:tcPr>
          <w:p w:rsidR="00372911" w:rsidRPr="00FD0B91" w:rsidRDefault="00372911" w:rsidP="004077CD">
            <w:pPr>
              <w:spacing w:after="60"/>
              <w:jc w:val="center"/>
              <w:rPr>
                <w:rFonts w:cs="Arial"/>
              </w:rPr>
            </w:pPr>
            <w:r w:rsidRPr="00FD0B91">
              <w:rPr>
                <w:rFonts w:cs="Arial"/>
              </w:rPr>
              <w:t>2.94</w:t>
            </w:r>
          </w:p>
        </w:tc>
      </w:tr>
      <w:tr w:rsidR="00372911" w:rsidRPr="00FD0B91" w:rsidTr="00372911">
        <w:trPr>
          <w:trHeight w:val="129"/>
        </w:trPr>
        <w:tc>
          <w:tcPr>
            <w:tcW w:w="650" w:type="pct"/>
            <w:vMerge w:val="restart"/>
          </w:tcPr>
          <w:p w:rsidR="00372911" w:rsidRPr="00FD0B91" w:rsidRDefault="00372911" w:rsidP="004077CD">
            <w:pPr>
              <w:spacing w:after="60"/>
              <w:rPr>
                <w:rFonts w:cs="Arial"/>
              </w:rPr>
            </w:pPr>
            <w:r w:rsidRPr="00FD0B91">
              <w:rPr>
                <w:rFonts w:cs="Arial"/>
              </w:rPr>
              <w:t>Analyze</w:t>
            </w:r>
          </w:p>
        </w:tc>
        <w:tc>
          <w:tcPr>
            <w:tcW w:w="1122" w:type="pct"/>
          </w:tcPr>
          <w:p w:rsidR="00372911" w:rsidRPr="00FD0B91" w:rsidRDefault="00372911" w:rsidP="004077CD">
            <w:pPr>
              <w:spacing w:after="60"/>
              <w:rPr>
                <w:rFonts w:cs="Arial"/>
              </w:rPr>
            </w:pPr>
            <w:r w:rsidRPr="00FD0B91">
              <w:rPr>
                <w:rFonts w:cs="Arial"/>
              </w:rPr>
              <w:t>unadjusted</w:t>
            </w:r>
          </w:p>
        </w:tc>
        <w:tc>
          <w:tcPr>
            <w:tcW w:w="1076" w:type="pct"/>
            <w:vAlign w:val="center"/>
          </w:tcPr>
          <w:p w:rsidR="00372911" w:rsidRPr="00FD0B91" w:rsidRDefault="00372911" w:rsidP="004077CD">
            <w:pPr>
              <w:spacing w:after="60"/>
              <w:jc w:val="center"/>
              <w:rPr>
                <w:rFonts w:cs="Arial"/>
              </w:rPr>
            </w:pPr>
            <w:r w:rsidRPr="00FD0B91">
              <w:rPr>
                <w:rFonts w:cs="Arial"/>
              </w:rPr>
              <w:t>2.64</w:t>
            </w:r>
          </w:p>
        </w:tc>
        <w:tc>
          <w:tcPr>
            <w:tcW w:w="1079" w:type="pct"/>
            <w:vAlign w:val="center"/>
          </w:tcPr>
          <w:p w:rsidR="00372911" w:rsidRPr="00FD0B91" w:rsidRDefault="00372911" w:rsidP="004077CD">
            <w:pPr>
              <w:spacing w:after="60"/>
              <w:jc w:val="center"/>
              <w:rPr>
                <w:rFonts w:cs="Arial"/>
              </w:rPr>
            </w:pPr>
            <w:r w:rsidRPr="00FD0B91">
              <w:rPr>
                <w:rFonts w:cs="Arial"/>
              </w:rPr>
              <w:t>3.12</w:t>
            </w:r>
          </w:p>
        </w:tc>
        <w:tc>
          <w:tcPr>
            <w:tcW w:w="1073" w:type="pct"/>
            <w:vAlign w:val="center"/>
          </w:tcPr>
          <w:p w:rsidR="00372911" w:rsidRPr="00FD0B91" w:rsidRDefault="00372911" w:rsidP="004077CD">
            <w:pPr>
              <w:spacing w:after="60"/>
              <w:jc w:val="center"/>
              <w:rPr>
                <w:rFonts w:cs="Arial"/>
              </w:rPr>
            </w:pPr>
            <w:r w:rsidRPr="00FD0B91">
              <w:rPr>
                <w:rFonts w:cs="Arial"/>
              </w:rPr>
              <w:t>3.23</w:t>
            </w:r>
          </w:p>
        </w:tc>
      </w:tr>
      <w:tr w:rsidR="00372911" w:rsidRPr="00FD0B91" w:rsidTr="00372911">
        <w:trPr>
          <w:trHeight w:val="129"/>
        </w:trPr>
        <w:tc>
          <w:tcPr>
            <w:tcW w:w="650" w:type="pct"/>
            <w:vMerge/>
          </w:tcPr>
          <w:p w:rsidR="00372911" w:rsidRPr="00FD0B91" w:rsidRDefault="00372911" w:rsidP="004077CD">
            <w:pPr>
              <w:spacing w:after="60"/>
              <w:rPr>
                <w:rFonts w:cs="Arial"/>
              </w:rPr>
            </w:pPr>
          </w:p>
        </w:tc>
        <w:tc>
          <w:tcPr>
            <w:tcW w:w="1122" w:type="pct"/>
          </w:tcPr>
          <w:p w:rsidR="00372911" w:rsidRPr="00FD0B91" w:rsidRDefault="00372911" w:rsidP="004077CD">
            <w:pPr>
              <w:spacing w:after="60"/>
              <w:rPr>
                <w:rFonts w:cs="Arial"/>
              </w:rPr>
            </w:pPr>
            <w:r w:rsidRPr="00FD0B91">
              <w:rPr>
                <w:rFonts w:cs="Arial"/>
              </w:rPr>
              <w:t>adjusted</w:t>
            </w:r>
          </w:p>
        </w:tc>
        <w:tc>
          <w:tcPr>
            <w:tcW w:w="1076" w:type="pct"/>
            <w:vAlign w:val="center"/>
          </w:tcPr>
          <w:p w:rsidR="00372911" w:rsidRPr="00FD0B91" w:rsidRDefault="00372911" w:rsidP="004077CD">
            <w:pPr>
              <w:spacing w:after="60"/>
              <w:jc w:val="center"/>
              <w:rPr>
                <w:rFonts w:cs="Arial"/>
              </w:rPr>
            </w:pPr>
            <w:r w:rsidRPr="00FD0B91">
              <w:rPr>
                <w:rFonts w:cs="Arial"/>
              </w:rPr>
              <w:t>2.71</w:t>
            </w:r>
          </w:p>
        </w:tc>
        <w:tc>
          <w:tcPr>
            <w:tcW w:w="1079" w:type="pct"/>
            <w:vAlign w:val="center"/>
          </w:tcPr>
          <w:p w:rsidR="00372911" w:rsidRPr="00FD0B91" w:rsidRDefault="00372911" w:rsidP="004077CD">
            <w:pPr>
              <w:spacing w:after="60"/>
              <w:jc w:val="center"/>
              <w:rPr>
                <w:rFonts w:cs="Arial"/>
              </w:rPr>
            </w:pPr>
            <w:r w:rsidRPr="00FD0B91">
              <w:rPr>
                <w:rFonts w:cs="Arial"/>
              </w:rPr>
              <w:t>3.18</w:t>
            </w:r>
          </w:p>
        </w:tc>
        <w:tc>
          <w:tcPr>
            <w:tcW w:w="1073" w:type="pct"/>
            <w:vAlign w:val="center"/>
          </w:tcPr>
          <w:p w:rsidR="00372911" w:rsidRPr="00FD0B91" w:rsidRDefault="00372911" w:rsidP="004077CD">
            <w:pPr>
              <w:spacing w:after="60"/>
              <w:jc w:val="center"/>
              <w:rPr>
                <w:rFonts w:cs="Arial"/>
              </w:rPr>
            </w:pPr>
            <w:r w:rsidRPr="00FD0B91">
              <w:rPr>
                <w:rFonts w:cs="Arial"/>
              </w:rPr>
              <w:t>3.12</w:t>
            </w:r>
          </w:p>
        </w:tc>
      </w:tr>
      <w:tr w:rsidR="00372911" w:rsidRPr="00FD0B91" w:rsidTr="00372911">
        <w:trPr>
          <w:trHeight w:val="129"/>
        </w:trPr>
        <w:tc>
          <w:tcPr>
            <w:tcW w:w="650" w:type="pct"/>
            <w:vMerge w:val="restart"/>
          </w:tcPr>
          <w:p w:rsidR="00372911" w:rsidRPr="00FD0B91" w:rsidRDefault="00372911" w:rsidP="004077CD">
            <w:pPr>
              <w:spacing w:after="60"/>
              <w:rPr>
                <w:rFonts w:cs="Arial"/>
              </w:rPr>
            </w:pPr>
            <w:r w:rsidRPr="00FD0B91">
              <w:rPr>
                <w:rFonts w:cs="Arial"/>
              </w:rPr>
              <w:t xml:space="preserve">Evaluate </w:t>
            </w:r>
          </w:p>
        </w:tc>
        <w:tc>
          <w:tcPr>
            <w:tcW w:w="1122" w:type="pct"/>
          </w:tcPr>
          <w:p w:rsidR="00372911" w:rsidRPr="00FD0B91" w:rsidRDefault="00372911" w:rsidP="004077CD">
            <w:pPr>
              <w:spacing w:after="60"/>
              <w:rPr>
                <w:rFonts w:cs="Arial"/>
              </w:rPr>
            </w:pPr>
            <w:r w:rsidRPr="00FD0B91">
              <w:rPr>
                <w:rFonts w:cs="Arial"/>
              </w:rPr>
              <w:t>unadjusted</w:t>
            </w:r>
          </w:p>
        </w:tc>
        <w:tc>
          <w:tcPr>
            <w:tcW w:w="1076" w:type="pct"/>
            <w:vAlign w:val="center"/>
          </w:tcPr>
          <w:p w:rsidR="00372911" w:rsidRPr="00FD0B91" w:rsidRDefault="00372911" w:rsidP="004077CD">
            <w:pPr>
              <w:spacing w:after="60"/>
              <w:jc w:val="center"/>
              <w:rPr>
                <w:rFonts w:cs="Arial"/>
              </w:rPr>
            </w:pPr>
            <w:r w:rsidRPr="00FD0B91">
              <w:rPr>
                <w:rFonts w:cs="Arial"/>
              </w:rPr>
              <w:t>2.55</w:t>
            </w:r>
          </w:p>
        </w:tc>
        <w:tc>
          <w:tcPr>
            <w:tcW w:w="1079" w:type="pct"/>
            <w:vAlign w:val="center"/>
          </w:tcPr>
          <w:p w:rsidR="00372911" w:rsidRPr="00FD0B91" w:rsidRDefault="00372911" w:rsidP="004077CD">
            <w:pPr>
              <w:spacing w:after="60"/>
              <w:jc w:val="center"/>
              <w:rPr>
                <w:rFonts w:cs="Arial"/>
              </w:rPr>
            </w:pPr>
            <w:r w:rsidRPr="00FD0B91">
              <w:rPr>
                <w:rFonts w:cs="Arial"/>
              </w:rPr>
              <w:t>2.88</w:t>
            </w:r>
          </w:p>
        </w:tc>
        <w:tc>
          <w:tcPr>
            <w:tcW w:w="1073" w:type="pct"/>
            <w:vAlign w:val="center"/>
          </w:tcPr>
          <w:p w:rsidR="00372911" w:rsidRPr="00FD0B91" w:rsidRDefault="00372911" w:rsidP="004077CD">
            <w:pPr>
              <w:spacing w:after="60"/>
              <w:jc w:val="center"/>
              <w:rPr>
                <w:rFonts w:cs="Arial"/>
              </w:rPr>
            </w:pPr>
            <w:r w:rsidRPr="00FD0B91">
              <w:rPr>
                <w:rFonts w:cs="Arial"/>
              </w:rPr>
              <w:t>2.94</w:t>
            </w:r>
          </w:p>
        </w:tc>
      </w:tr>
      <w:tr w:rsidR="00372911" w:rsidRPr="00FD0B91" w:rsidTr="00372911">
        <w:trPr>
          <w:trHeight w:val="129"/>
        </w:trPr>
        <w:tc>
          <w:tcPr>
            <w:tcW w:w="650" w:type="pct"/>
            <w:vMerge/>
          </w:tcPr>
          <w:p w:rsidR="00372911" w:rsidRPr="00FD0B91" w:rsidRDefault="00372911" w:rsidP="004077CD">
            <w:pPr>
              <w:spacing w:after="60"/>
              <w:rPr>
                <w:rFonts w:cs="Arial"/>
              </w:rPr>
            </w:pPr>
          </w:p>
        </w:tc>
        <w:tc>
          <w:tcPr>
            <w:tcW w:w="1122" w:type="pct"/>
          </w:tcPr>
          <w:p w:rsidR="00372911" w:rsidRPr="00FD0B91" w:rsidRDefault="00372911" w:rsidP="004077CD">
            <w:pPr>
              <w:spacing w:after="60"/>
              <w:rPr>
                <w:rFonts w:cs="Arial"/>
              </w:rPr>
            </w:pPr>
            <w:r w:rsidRPr="00FD0B91">
              <w:rPr>
                <w:rFonts w:cs="Arial"/>
              </w:rPr>
              <w:t>adjusted</w:t>
            </w:r>
          </w:p>
        </w:tc>
        <w:tc>
          <w:tcPr>
            <w:tcW w:w="1076" w:type="pct"/>
            <w:vAlign w:val="center"/>
          </w:tcPr>
          <w:p w:rsidR="00372911" w:rsidRPr="00FD0B91" w:rsidRDefault="00372911" w:rsidP="004077CD">
            <w:pPr>
              <w:spacing w:after="60"/>
              <w:jc w:val="center"/>
              <w:rPr>
                <w:rFonts w:cs="Arial"/>
              </w:rPr>
            </w:pPr>
            <w:r w:rsidRPr="00FD0B91">
              <w:rPr>
                <w:rFonts w:cs="Arial"/>
              </w:rPr>
              <w:t>2.62</w:t>
            </w:r>
          </w:p>
        </w:tc>
        <w:tc>
          <w:tcPr>
            <w:tcW w:w="1079" w:type="pct"/>
            <w:vAlign w:val="center"/>
          </w:tcPr>
          <w:p w:rsidR="00372911" w:rsidRPr="00FD0B91" w:rsidRDefault="00372911" w:rsidP="004077CD">
            <w:pPr>
              <w:spacing w:after="60"/>
              <w:jc w:val="center"/>
              <w:rPr>
                <w:rFonts w:cs="Arial"/>
              </w:rPr>
            </w:pPr>
            <w:r w:rsidRPr="00FD0B91">
              <w:rPr>
                <w:rFonts w:cs="Arial"/>
              </w:rPr>
              <w:t>2.94</w:t>
            </w:r>
          </w:p>
        </w:tc>
        <w:tc>
          <w:tcPr>
            <w:tcW w:w="1073" w:type="pct"/>
            <w:vAlign w:val="center"/>
          </w:tcPr>
          <w:p w:rsidR="00372911" w:rsidRPr="00FD0B91" w:rsidRDefault="00372911" w:rsidP="004077CD">
            <w:pPr>
              <w:spacing w:after="60"/>
              <w:jc w:val="center"/>
              <w:rPr>
                <w:rFonts w:cs="Arial"/>
              </w:rPr>
            </w:pPr>
            <w:r w:rsidRPr="00FD0B91">
              <w:rPr>
                <w:rFonts w:cs="Arial"/>
              </w:rPr>
              <w:t>2.81</w:t>
            </w:r>
          </w:p>
        </w:tc>
      </w:tr>
      <w:tr w:rsidR="00372911" w:rsidRPr="00FD0B91" w:rsidTr="00372911">
        <w:trPr>
          <w:trHeight w:val="129"/>
        </w:trPr>
        <w:tc>
          <w:tcPr>
            <w:tcW w:w="650" w:type="pct"/>
            <w:vMerge w:val="restart"/>
          </w:tcPr>
          <w:p w:rsidR="00372911" w:rsidRPr="00FD0B91" w:rsidRDefault="00372911" w:rsidP="004077CD">
            <w:pPr>
              <w:spacing w:after="60"/>
              <w:rPr>
                <w:rFonts w:cs="Arial"/>
              </w:rPr>
            </w:pPr>
            <w:r w:rsidRPr="00FD0B91">
              <w:rPr>
                <w:rFonts w:cs="Arial"/>
              </w:rPr>
              <w:t>Create</w:t>
            </w:r>
          </w:p>
        </w:tc>
        <w:tc>
          <w:tcPr>
            <w:tcW w:w="1122" w:type="pct"/>
          </w:tcPr>
          <w:p w:rsidR="00372911" w:rsidRPr="00FD0B91" w:rsidRDefault="00372911" w:rsidP="004077CD">
            <w:pPr>
              <w:spacing w:after="60"/>
              <w:rPr>
                <w:rFonts w:cs="Arial"/>
              </w:rPr>
            </w:pPr>
            <w:r w:rsidRPr="00FD0B91">
              <w:rPr>
                <w:rFonts w:cs="Arial"/>
              </w:rPr>
              <w:t>unadjusted</w:t>
            </w:r>
          </w:p>
        </w:tc>
        <w:tc>
          <w:tcPr>
            <w:tcW w:w="1076" w:type="pct"/>
            <w:vAlign w:val="center"/>
          </w:tcPr>
          <w:p w:rsidR="00372911" w:rsidRPr="00FD0B91" w:rsidRDefault="00372911" w:rsidP="004077CD">
            <w:pPr>
              <w:spacing w:after="60"/>
              <w:jc w:val="center"/>
              <w:rPr>
                <w:rFonts w:cs="Arial"/>
              </w:rPr>
            </w:pPr>
            <w:r w:rsidRPr="00FD0B91">
              <w:rPr>
                <w:rFonts w:cs="Arial"/>
              </w:rPr>
              <w:t>2.27</w:t>
            </w:r>
          </w:p>
        </w:tc>
        <w:tc>
          <w:tcPr>
            <w:tcW w:w="1079" w:type="pct"/>
            <w:vAlign w:val="center"/>
          </w:tcPr>
          <w:p w:rsidR="00372911" w:rsidRPr="00FD0B91" w:rsidRDefault="00372911" w:rsidP="004077CD">
            <w:pPr>
              <w:spacing w:after="60"/>
              <w:jc w:val="center"/>
              <w:rPr>
                <w:rFonts w:cs="Arial"/>
              </w:rPr>
            </w:pPr>
            <w:r w:rsidRPr="00FD0B91">
              <w:rPr>
                <w:rFonts w:cs="Arial"/>
              </w:rPr>
              <w:t>2.53</w:t>
            </w:r>
          </w:p>
        </w:tc>
        <w:tc>
          <w:tcPr>
            <w:tcW w:w="1073" w:type="pct"/>
            <w:vAlign w:val="center"/>
          </w:tcPr>
          <w:p w:rsidR="00372911" w:rsidRPr="00FD0B91" w:rsidRDefault="00372911" w:rsidP="004077CD">
            <w:pPr>
              <w:spacing w:after="60"/>
              <w:jc w:val="center"/>
              <w:rPr>
                <w:rFonts w:cs="Arial"/>
              </w:rPr>
            </w:pPr>
            <w:r w:rsidRPr="00FD0B91">
              <w:rPr>
                <w:rFonts w:cs="Arial"/>
              </w:rPr>
              <w:t>2.67</w:t>
            </w:r>
          </w:p>
        </w:tc>
      </w:tr>
      <w:tr w:rsidR="00372911" w:rsidRPr="00FD0B91" w:rsidTr="00372911">
        <w:trPr>
          <w:trHeight w:val="129"/>
        </w:trPr>
        <w:tc>
          <w:tcPr>
            <w:tcW w:w="650" w:type="pct"/>
            <w:vMerge/>
          </w:tcPr>
          <w:p w:rsidR="00372911" w:rsidRPr="00FD0B91" w:rsidRDefault="00372911" w:rsidP="004077CD">
            <w:pPr>
              <w:spacing w:after="60"/>
              <w:rPr>
                <w:rFonts w:cs="Arial"/>
              </w:rPr>
            </w:pPr>
          </w:p>
        </w:tc>
        <w:tc>
          <w:tcPr>
            <w:tcW w:w="1122" w:type="pct"/>
          </w:tcPr>
          <w:p w:rsidR="00372911" w:rsidRPr="00FD0B91" w:rsidRDefault="00372911" w:rsidP="004077CD">
            <w:pPr>
              <w:spacing w:after="60"/>
              <w:rPr>
                <w:rFonts w:cs="Arial"/>
              </w:rPr>
            </w:pPr>
            <w:r w:rsidRPr="00FD0B91">
              <w:rPr>
                <w:rFonts w:cs="Arial"/>
              </w:rPr>
              <w:t>adjusted</w:t>
            </w:r>
          </w:p>
        </w:tc>
        <w:tc>
          <w:tcPr>
            <w:tcW w:w="1076" w:type="pct"/>
            <w:vAlign w:val="center"/>
          </w:tcPr>
          <w:p w:rsidR="00372911" w:rsidRPr="00FD0B91" w:rsidRDefault="00372911" w:rsidP="004077CD">
            <w:pPr>
              <w:spacing w:after="60"/>
              <w:jc w:val="center"/>
              <w:rPr>
                <w:rFonts w:cs="Arial"/>
              </w:rPr>
            </w:pPr>
            <w:r w:rsidRPr="00FD0B91">
              <w:rPr>
                <w:rFonts w:cs="Arial"/>
              </w:rPr>
              <w:t>2.33</w:t>
            </w:r>
          </w:p>
        </w:tc>
        <w:tc>
          <w:tcPr>
            <w:tcW w:w="1079" w:type="pct"/>
            <w:vAlign w:val="center"/>
          </w:tcPr>
          <w:p w:rsidR="00372911" w:rsidRPr="00FD0B91" w:rsidRDefault="00372911" w:rsidP="004077CD">
            <w:pPr>
              <w:spacing w:after="60"/>
              <w:jc w:val="center"/>
              <w:rPr>
                <w:rFonts w:cs="Arial"/>
              </w:rPr>
            </w:pPr>
            <w:r w:rsidRPr="00FD0B91">
              <w:rPr>
                <w:rFonts w:cs="Arial"/>
              </w:rPr>
              <w:t>2.58</w:t>
            </w:r>
          </w:p>
        </w:tc>
        <w:tc>
          <w:tcPr>
            <w:tcW w:w="1073" w:type="pct"/>
            <w:vAlign w:val="center"/>
          </w:tcPr>
          <w:p w:rsidR="00372911" w:rsidRPr="00FD0B91" w:rsidRDefault="00372911" w:rsidP="004077CD">
            <w:pPr>
              <w:spacing w:after="60"/>
              <w:jc w:val="center"/>
              <w:rPr>
                <w:rFonts w:cs="Arial"/>
              </w:rPr>
            </w:pPr>
            <w:r w:rsidRPr="00FD0B91">
              <w:rPr>
                <w:rFonts w:cs="Arial"/>
              </w:rPr>
              <w:t>2.54</w:t>
            </w:r>
          </w:p>
        </w:tc>
      </w:tr>
    </w:tbl>
    <w:p w:rsidR="00372911" w:rsidRDefault="00372911" w:rsidP="00372911">
      <w:pPr>
        <w:rPr>
          <w:rFonts w:cs="Arial"/>
        </w:rPr>
      </w:pPr>
      <w:r w:rsidRPr="00FD0B91">
        <w:rPr>
          <w:rFonts w:cs="Arial"/>
        </w:rPr>
        <w:t xml:space="preserve">A priori comparisons were performed using a </w:t>
      </w:r>
      <w:proofErr w:type="spellStart"/>
      <w:r w:rsidRPr="00FD0B91">
        <w:rPr>
          <w:rFonts w:cs="Arial"/>
        </w:rPr>
        <w:t>Bonferroni</w:t>
      </w:r>
      <w:proofErr w:type="spellEnd"/>
      <w:r w:rsidRPr="00FD0B91">
        <w:rPr>
          <w:rFonts w:cs="Arial"/>
        </w:rPr>
        <w:t xml:space="preserve"> adjustment to determine whether the pattern of Posttest means for the interaction effect followed the one that was hypothesized.  Students whose preferred learning mode was </w:t>
      </w:r>
      <w:r w:rsidRPr="00FD0B91">
        <w:rPr>
          <w:rFonts w:cs="Arial"/>
          <w:i/>
        </w:rPr>
        <w:t>Iconic</w:t>
      </w:r>
      <w:r w:rsidRPr="00FD0B91">
        <w:rPr>
          <w:rFonts w:cs="Arial"/>
        </w:rPr>
        <w:t xml:space="preserve"> performed significantly lower in the first</w:t>
      </w:r>
      <w:r w:rsidRPr="00FD0B91">
        <w:rPr>
          <w:rFonts w:cs="Arial"/>
          <w:i/>
        </w:rPr>
        <w:t xml:space="preserve"> </w:t>
      </w:r>
      <w:proofErr w:type="spellStart"/>
      <w:r w:rsidRPr="00277C97">
        <w:rPr>
          <w:rFonts w:cs="Arial"/>
        </w:rPr>
        <w:t>LearningTool</w:t>
      </w:r>
      <w:proofErr w:type="spellEnd"/>
      <w:r w:rsidRPr="00FD0B91">
        <w:rPr>
          <w:rFonts w:cs="Arial"/>
          <w:i/>
        </w:rPr>
        <w:t xml:space="preserve"> </w:t>
      </w:r>
      <w:r w:rsidRPr="00FD0B91">
        <w:rPr>
          <w:rFonts w:cs="Arial"/>
        </w:rPr>
        <w:t>group than in the second (mean difference = -18.13, SE = 4.39, p &lt; .01) or third</w:t>
      </w:r>
      <w:r w:rsidRPr="00FD0B91">
        <w:rPr>
          <w:rFonts w:cs="Arial"/>
          <w:i/>
        </w:rPr>
        <w:t xml:space="preserve"> </w:t>
      </w:r>
      <w:proofErr w:type="spellStart"/>
      <w:r w:rsidRPr="00277C97">
        <w:rPr>
          <w:rFonts w:cs="Arial"/>
        </w:rPr>
        <w:t>LearningTool</w:t>
      </w:r>
      <w:proofErr w:type="spellEnd"/>
      <w:r w:rsidRPr="00FD0B91">
        <w:rPr>
          <w:rFonts w:cs="Arial"/>
          <w:i/>
        </w:rPr>
        <w:t xml:space="preserve"> </w:t>
      </w:r>
      <w:r w:rsidRPr="00277C97">
        <w:rPr>
          <w:rFonts w:cs="Arial"/>
        </w:rPr>
        <w:t>groups</w:t>
      </w:r>
      <w:r w:rsidRPr="00FD0B91">
        <w:rPr>
          <w:rFonts w:cs="Arial"/>
        </w:rPr>
        <w:t xml:space="preserve"> (mean difference = -24.43, SE = 4.49, p &lt; .01).  There were no statistically significant </w:t>
      </w:r>
      <w:r w:rsidRPr="00277C97">
        <w:rPr>
          <w:rFonts w:cs="Arial"/>
        </w:rPr>
        <w:t xml:space="preserve">differences between students with an Iconic learning mode who participated in groups two and three (mean difference = -6.30, SE = 4.10, p &gt; .05). Students whose preferred learning mode was direct experience performed significantly lower in the first compared to the third </w:t>
      </w:r>
      <w:proofErr w:type="spellStart"/>
      <w:r w:rsidRPr="00277C97">
        <w:rPr>
          <w:rFonts w:cs="Arial"/>
        </w:rPr>
        <w:t>LearningTool</w:t>
      </w:r>
      <w:proofErr w:type="spellEnd"/>
      <w:r w:rsidRPr="00277C97">
        <w:rPr>
          <w:rFonts w:cs="Arial"/>
        </w:rPr>
        <w:t xml:space="preserve"> group (mean difference = -23.67, SE = 5.20, p &lt; .01).  </w:t>
      </w:r>
      <w:r w:rsidR="004077CD">
        <w:rPr>
          <w:rFonts w:cs="Arial"/>
        </w:rPr>
        <w:t>N</w:t>
      </w:r>
      <w:r w:rsidRPr="00277C97">
        <w:rPr>
          <w:rFonts w:cs="Arial"/>
        </w:rPr>
        <w:t xml:space="preserve">o statistically significant difference was found in Posttest performance between students with a Direct Experience learning mode who participated in the first and in the second </w:t>
      </w:r>
      <w:proofErr w:type="spellStart"/>
      <w:r w:rsidRPr="00277C97">
        <w:rPr>
          <w:rFonts w:cs="Arial"/>
        </w:rPr>
        <w:t>LearningTool</w:t>
      </w:r>
      <w:proofErr w:type="spellEnd"/>
      <w:r w:rsidRPr="00277C97">
        <w:rPr>
          <w:rFonts w:cs="Arial"/>
        </w:rPr>
        <w:t xml:space="preserve"> groups (mean difference = -6.23, SE = 4.65, p &gt; .05). </w:t>
      </w:r>
      <w:r w:rsidR="004077CD">
        <w:rPr>
          <w:rFonts w:cs="Arial"/>
        </w:rPr>
        <w:t>S</w:t>
      </w:r>
      <w:r w:rsidRPr="00277C97">
        <w:rPr>
          <w:rFonts w:cs="Arial"/>
        </w:rPr>
        <w:t>tudents with this learning mode performed significantly better in group three than in group two (mean difference = 29.90, SE = 5.47, p &lt; .01).</w:t>
      </w:r>
    </w:p>
    <w:p w:rsidR="00372911" w:rsidRDefault="00372911" w:rsidP="00372911">
      <w:r w:rsidRPr="00277C97">
        <w:t xml:space="preserve">In summary, after the sequential adjustment for </w:t>
      </w:r>
      <w:proofErr w:type="spellStart"/>
      <w:r w:rsidRPr="00277C97">
        <w:t>nonorthogonality</w:t>
      </w:r>
      <w:proofErr w:type="spellEnd"/>
      <w:r w:rsidRPr="00277C97">
        <w:t>, the multiple analysis of covariance indicated that Posttest was the variable that best distinguished among students in the three treatment conditions</w:t>
      </w:r>
      <w:r w:rsidRPr="00FD0B91">
        <w:t xml:space="preserve">.  Students using the n-dimensional knowledge organizers performed better on the Posttest than those using graphic organizers who, in turn, performed better than the group relying on essays.  The variables Apply, Analyze, and Evaluate also indicated a better performance in the groups using n-dimensional and graphic organizers as compared to those using essays.  While </w:t>
      </w:r>
      <w:proofErr w:type="spellStart"/>
      <w:r w:rsidRPr="00FD0B91">
        <w:t>LearningStyle</w:t>
      </w:r>
      <w:proofErr w:type="spellEnd"/>
      <w:r w:rsidRPr="00FD0B91">
        <w:t xml:space="preserve"> did not effectively differentiate among the three groups, the interaction between </w:t>
      </w:r>
      <w:proofErr w:type="spellStart"/>
      <w:r w:rsidRPr="00FD0B91">
        <w:t>LearningTool</w:t>
      </w:r>
      <w:proofErr w:type="spellEnd"/>
      <w:r w:rsidRPr="00FD0B91">
        <w:t xml:space="preserve"> and </w:t>
      </w:r>
      <w:proofErr w:type="spellStart"/>
      <w:r w:rsidRPr="00FD0B91">
        <w:t>LearningStyle</w:t>
      </w:r>
      <w:proofErr w:type="spellEnd"/>
      <w:r w:rsidRPr="00FD0B91">
        <w:t xml:space="preserve"> had a significant impact on the variable Apply. A statistically significant interaction between </w:t>
      </w:r>
      <w:proofErr w:type="spellStart"/>
      <w:r w:rsidRPr="00FD0B91">
        <w:t>LearningTool</w:t>
      </w:r>
      <w:proofErr w:type="spellEnd"/>
      <w:r w:rsidRPr="00FD0B91">
        <w:t xml:space="preserve"> and Learning Style suggested that students with a preference for the </w:t>
      </w:r>
      <w:r w:rsidRPr="00FD0B91">
        <w:rPr>
          <w:i/>
        </w:rPr>
        <w:t>listening</w:t>
      </w:r>
      <w:r w:rsidRPr="00FD0B91">
        <w:t xml:space="preserve"> mode of learning who participated in the </w:t>
      </w:r>
      <w:r w:rsidRPr="00FD0B91">
        <w:rPr>
          <w:i/>
        </w:rPr>
        <w:t>essay</w:t>
      </w:r>
      <w:r w:rsidRPr="00FD0B91">
        <w:t xml:space="preserve"> group scored higher on Apply. Students with a </w:t>
      </w:r>
      <w:r w:rsidRPr="00FD0B91">
        <w:rPr>
          <w:i/>
        </w:rPr>
        <w:t>reading</w:t>
      </w:r>
      <w:r w:rsidRPr="00FD0B91">
        <w:t xml:space="preserve"> or a </w:t>
      </w:r>
      <w:r w:rsidRPr="00FD0B91">
        <w:rPr>
          <w:i/>
        </w:rPr>
        <w:t>direct experience</w:t>
      </w:r>
      <w:r w:rsidRPr="00FD0B91">
        <w:t xml:space="preserve"> mode of learning who participated in the </w:t>
      </w:r>
      <w:r w:rsidRPr="00FD0B91">
        <w:rPr>
          <w:i/>
        </w:rPr>
        <w:t>n-dimensional knowledge organizers group</w:t>
      </w:r>
      <w:r w:rsidRPr="00FD0B91">
        <w:t xml:space="preserve"> scored higher on Apply, and students with an iconic mode of learning who participated in the graphic organizer group scored higher on Apply. When analyzing the interaction between </w:t>
      </w:r>
      <w:proofErr w:type="spellStart"/>
      <w:r w:rsidRPr="00FD0B91">
        <w:t>LearningTool</w:t>
      </w:r>
      <w:proofErr w:type="spellEnd"/>
      <w:r w:rsidRPr="00FD0B91">
        <w:t xml:space="preserve"> and </w:t>
      </w:r>
      <w:proofErr w:type="spellStart"/>
      <w:r w:rsidRPr="00FD0B91">
        <w:t>LearningStyle</w:t>
      </w:r>
      <w:proofErr w:type="spellEnd"/>
      <w:r w:rsidRPr="00FD0B91">
        <w:t xml:space="preserve"> from a </w:t>
      </w:r>
      <w:proofErr w:type="spellStart"/>
      <w:r w:rsidRPr="00FD0B91">
        <w:t>univariate</w:t>
      </w:r>
      <w:proofErr w:type="spellEnd"/>
      <w:r w:rsidRPr="00FD0B91">
        <w:t xml:space="preserve"> analysis perspective, similar findings were obtained.  Students with a </w:t>
      </w:r>
      <w:r w:rsidRPr="00FD0B91">
        <w:rPr>
          <w:i/>
        </w:rPr>
        <w:t>listening</w:t>
      </w:r>
      <w:r w:rsidRPr="00FD0B91">
        <w:t xml:space="preserve"> mode of learning who participated in the </w:t>
      </w:r>
      <w:r w:rsidRPr="00FD0B91">
        <w:rPr>
          <w:i/>
        </w:rPr>
        <w:t>essay</w:t>
      </w:r>
      <w:r w:rsidRPr="00FD0B91">
        <w:t xml:space="preserve"> group scored higher on Apply and Evaluate. Students who preferred the </w:t>
      </w:r>
      <w:r w:rsidRPr="00FD0B91">
        <w:rPr>
          <w:i/>
        </w:rPr>
        <w:t>iconic</w:t>
      </w:r>
      <w:r w:rsidRPr="00FD0B91">
        <w:t xml:space="preserve"> mode of learning and participated in the </w:t>
      </w:r>
      <w:r w:rsidRPr="00FD0B91">
        <w:rPr>
          <w:i/>
        </w:rPr>
        <w:t>graphic organizer</w:t>
      </w:r>
      <w:r w:rsidRPr="00FD0B91">
        <w:t xml:space="preserve"> group scored higher on these two variables, and students who had a preference for the </w:t>
      </w:r>
      <w:r w:rsidRPr="00FD0B91">
        <w:rPr>
          <w:i/>
        </w:rPr>
        <w:t>direct experience</w:t>
      </w:r>
      <w:r w:rsidRPr="00FD0B91">
        <w:t xml:space="preserve"> mode of learning and participated in the n-dimensional organizer group scored higher on these variables than students in the other two groups.  While students who preferred the </w:t>
      </w:r>
      <w:r w:rsidRPr="00FD0B91">
        <w:rPr>
          <w:i/>
        </w:rPr>
        <w:t>reading</w:t>
      </w:r>
      <w:r w:rsidRPr="00FD0B91">
        <w:t xml:space="preserve"> mode of learning and participated in the </w:t>
      </w:r>
      <w:r w:rsidRPr="00FD0B91">
        <w:rPr>
          <w:i/>
        </w:rPr>
        <w:t>n-dimensional organizers</w:t>
      </w:r>
      <w:r w:rsidRPr="00FD0B91">
        <w:t xml:space="preserve"> group scored higher in Apply, students with this preferred mode of learning who participated in the </w:t>
      </w:r>
      <w:r w:rsidRPr="00FD0B91">
        <w:rPr>
          <w:i/>
        </w:rPr>
        <w:t>graphic organizers</w:t>
      </w:r>
      <w:r w:rsidRPr="00FD0B91">
        <w:t xml:space="preserve"> group scored higher on Evaluate than the other two groups. Because the results provided by the multiple analysis of covariance with respect to the interaction between </w:t>
      </w:r>
      <w:proofErr w:type="spellStart"/>
      <w:r w:rsidRPr="00FD0B91">
        <w:t>LearningTool</w:t>
      </w:r>
      <w:proofErr w:type="spellEnd"/>
      <w:r w:rsidRPr="00FD0B91">
        <w:t xml:space="preserve"> and </w:t>
      </w:r>
      <w:proofErr w:type="spellStart"/>
      <w:r w:rsidRPr="00FD0B91">
        <w:t>LearningStyle</w:t>
      </w:r>
      <w:proofErr w:type="spellEnd"/>
      <w:r w:rsidRPr="00FD0B91">
        <w:t xml:space="preserve"> are only suggestive, a follow-up direct discriminant analysis with a priori-comparisons was performed.  This analysis found that Posttest was the best predictor of group membership. The a priori comparisons indicated that students with an </w:t>
      </w:r>
      <w:r w:rsidRPr="00FD0B91">
        <w:rPr>
          <w:i/>
        </w:rPr>
        <w:t>iconic</w:t>
      </w:r>
      <w:r w:rsidRPr="00FD0B91">
        <w:t xml:space="preserve"> mode of learning who participated in the </w:t>
      </w:r>
      <w:r w:rsidRPr="00FD0B91">
        <w:rPr>
          <w:i/>
        </w:rPr>
        <w:t>graphic organizer</w:t>
      </w:r>
      <w:r w:rsidRPr="00FD0B91">
        <w:t xml:space="preserve"> or in the </w:t>
      </w:r>
      <w:r w:rsidRPr="00FD0B91">
        <w:rPr>
          <w:i/>
        </w:rPr>
        <w:t>n-dimensional organizer</w:t>
      </w:r>
      <w:r w:rsidRPr="00FD0B91">
        <w:t xml:space="preserve"> groups scored significantly higher on Posttest than students who belonged to the </w:t>
      </w:r>
      <w:r w:rsidRPr="00FD0B91">
        <w:rPr>
          <w:i/>
        </w:rPr>
        <w:t>essay</w:t>
      </w:r>
      <w:r w:rsidRPr="00FD0B91">
        <w:t xml:space="preserve"> group. There were no statistically significant differences between the </w:t>
      </w:r>
      <w:r w:rsidRPr="00FD0B91">
        <w:rPr>
          <w:i/>
        </w:rPr>
        <w:t>graphic organizer</w:t>
      </w:r>
      <w:r w:rsidRPr="00FD0B91">
        <w:t xml:space="preserve"> and the </w:t>
      </w:r>
      <w:r w:rsidRPr="00FD0B91">
        <w:rPr>
          <w:i/>
        </w:rPr>
        <w:t>n-dimensional organize</w:t>
      </w:r>
      <w:r w:rsidRPr="00FD0B91">
        <w:t xml:space="preserve">r groups with respect to Posttest.  These comparisons further indicated that students who preferred the </w:t>
      </w:r>
      <w:r w:rsidRPr="00FD0B91">
        <w:rPr>
          <w:i/>
        </w:rPr>
        <w:t>direct experience</w:t>
      </w:r>
      <w:r w:rsidRPr="00FD0B91">
        <w:t xml:space="preserve"> mode of learning performed significantly better in the </w:t>
      </w:r>
      <w:r w:rsidRPr="00FD0B91">
        <w:rPr>
          <w:i/>
        </w:rPr>
        <w:t>n-dimensional knowledge organizer</w:t>
      </w:r>
      <w:r w:rsidRPr="00FD0B91">
        <w:t xml:space="preserve"> group than in the </w:t>
      </w:r>
      <w:r w:rsidRPr="00FD0B91">
        <w:rPr>
          <w:i/>
        </w:rPr>
        <w:t>essay</w:t>
      </w:r>
      <w:r w:rsidRPr="00FD0B91">
        <w:t xml:space="preserve"> or in the </w:t>
      </w:r>
      <w:r w:rsidRPr="00FD0B91">
        <w:rPr>
          <w:i/>
        </w:rPr>
        <w:t>graphic organizer</w:t>
      </w:r>
      <w:r w:rsidRPr="00FD0B91">
        <w:t xml:space="preserve"> group and that no significant differences existed between the last two.  </w:t>
      </w:r>
    </w:p>
    <w:p w:rsidR="00372911" w:rsidRDefault="00372911" w:rsidP="00372911">
      <w:pPr>
        <w:pStyle w:val="Heading3"/>
      </w:pPr>
      <w:r w:rsidRPr="00F85C8B">
        <w:t>Discussion</w:t>
      </w:r>
    </w:p>
    <w:p w:rsidR="00372911" w:rsidRDefault="00372911" w:rsidP="00372911">
      <w:r>
        <w:t xml:space="preserve">This study investigated the </w:t>
      </w:r>
      <w:r w:rsidRPr="00FD0B91">
        <w:t>effects of learning style (listening, reading, iconic, and direct experience) and treatment condition (n-dimensional knowledge organizers, graphic organizers, and essays—control condition) on a final exa</w:t>
      </w:r>
      <w:r>
        <w:t>m and on knowledge acquisition</w:t>
      </w:r>
      <w:r w:rsidRPr="00FD0B91">
        <w:t xml:space="preserve"> at various levels of</w:t>
      </w:r>
      <w:r>
        <w:t xml:space="preserve"> Bloom’s Taxonomy</w:t>
      </w:r>
      <w:r w:rsidRPr="00FD0B91">
        <w:t xml:space="preserve">.  The same instructor taught all four courses, comprised of 164 graduate and undergraduate students from the U.S. and Canada taking a human development course. Because registration to the courses </w:t>
      </w:r>
      <w:r>
        <w:t>depended on the</w:t>
      </w:r>
      <w:r w:rsidRPr="00FD0B91">
        <w:t xml:space="preserve"> students’ discretion, there was no random assignment of subjects to treatment conditions. However, an analysis of the composition of the groups did not suggest </w:t>
      </w:r>
      <w:r>
        <w:t>the existence of</w:t>
      </w:r>
      <w:r w:rsidRPr="00FD0B91">
        <w:t xml:space="preserve"> significant differences with regard to gender.  Because </w:t>
      </w:r>
      <w:r>
        <w:t>a larger</w:t>
      </w:r>
      <w:r w:rsidRPr="00FD0B91">
        <w:t xml:space="preserve"> cultural and ethnic diversity</w:t>
      </w:r>
      <w:r>
        <w:t xml:space="preserve"> was present</w:t>
      </w:r>
      <w:r w:rsidRPr="00FD0B91">
        <w:t xml:space="preserve"> in the Canadian groups, one Canadian and one U.S. group </w:t>
      </w:r>
      <w:r>
        <w:t>were</w:t>
      </w:r>
      <w:r w:rsidRPr="00FD0B91">
        <w:t xml:space="preserve"> assigned to each treatment and control conditions.  Initial analysis of the data indicated that no data was missing and that normality, homogeneity of variance</w:t>
      </w:r>
      <w:r w:rsidR="0070613B">
        <w:t>-covariance matrices, linearity</w:t>
      </w:r>
      <w:r w:rsidRPr="00FD0B91">
        <w:t xml:space="preserve"> and multi</w:t>
      </w:r>
      <w:r w:rsidR="0070613B">
        <w:t>-</w:t>
      </w:r>
      <w:r w:rsidRPr="00FD0B91">
        <w:t>co</w:t>
      </w:r>
      <w:r w:rsidR="0070613B">
        <w:t>-</w:t>
      </w:r>
      <w:r w:rsidRPr="00FD0B91">
        <w:t>linearity</w:t>
      </w:r>
      <w:r w:rsidR="0070613B">
        <w:t>,</w:t>
      </w:r>
      <w:r w:rsidRPr="00FD0B91">
        <w:t xml:space="preserve"> were satisfactory.  </w:t>
      </w:r>
    </w:p>
    <w:p w:rsidR="00372911" w:rsidRDefault="00372911" w:rsidP="00372911">
      <w:r w:rsidRPr="00FD0B91">
        <w:t xml:space="preserve">To address the two research questions, which investigated the main effect among groups and the interaction effects between </w:t>
      </w:r>
      <w:proofErr w:type="spellStart"/>
      <w:r w:rsidRPr="00FD0B91">
        <w:t>LearningTool</w:t>
      </w:r>
      <w:proofErr w:type="spellEnd"/>
      <w:r w:rsidRPr="00FD0B91">
        <w:t xml:space="preserve"> and </w:t>
      </w:r>
      <w:proofErr w:type="spellStart"/>
      <w:r w:rsidRPr="00FD0B91">
        <w:t>LearningStyle</w:t>
      </w:r>
      <w:proofErr w:type="spellEnd"/>
      <w:r w:rsidRPr="00FD0B91">
        <w:t xml:space="preserve"> with respect to the independent variables—Posttest, Apply, Analyze, Evaluate and Create, a 3 x 4 between-subjects MANCOVA was performed using SPSS with a discriminant function analysis follow-up that included specific a-priori comparisons.  The results of the MANCOVA indicated that no statistically significant differences among the groups existed with respect to </w:t>
      </w:r>
      <w:proofErr w:type="spellStart"/>
      <w:r w:rsidRPr="00FD0B91">
        <w:t>LearningStyle</w:t>
      </w:r>
      <w:proofErr w:type="spellEnd"/>
      <w:r w:rsidRPr="00FD0B91">
        <w:t xml:space="preserve">.  In the case of </w:t>
      </w:r>
      <w:proofErr w:type="spellStart"/>
      <w:r w:rsidRPr="00FD0B91">
        <w:t>LearningTool</w:t>
      </w:r>
      <w:proofErr w:type="spellEnd"/>
      <w:r w:rsidRPr="00FD0B91">
        <w:t xml:space="preserve">, Posttest was the best factor that distinguished among the three groups, with students in the </w:t>
      </w:r>
      <w:r w:rsidRPr="00FD0B91">
        <w:rPr>
          <w:i/>
        </w:rPr>
        <w:t>n–dimensional knowledge organizers</w:t>
      </w:r>
      <w:r w:rsidRPr="00FD0B91">
        <w:t xml:space="preserve"> group performing better than in the </w:t>
      </w:r>
      <w:r w:rsidRPr="00FD0B91">
        <w:rPr>
          <w:i/>
        </w:rPr>
        <w:t>graphic organizers</w:t>
      </w:r>
      <w:r w:rsidRPr="00FD0B91">
        <w:t xml:space="preserve"> group who, in turn, outperformed the </w:t>
      </w:r>
      <w:r w:rsidRPr="00FD0B91">
        <w:rPr>
          <w:i/>
        </w:rPr>
        <w:t>essay</w:t>
      </w:r>
      <w:r w:rsidRPr="00FD0B91">
        <w:t xml:space="preserve"> group.  The a-priori comparisons in the follow-up discriminant function analysis pointed to the fact that students with an </w:t>
      </w:r>
      <w:r w:rsidRPr="00FD0B91">
        <w:rPr>
          <w:i/>
        </w:rPr>
        <w:t>iconic</w:t>
      </w:r>
      <w:r w:rsidRPr="00FD0B91">
        <w:t xml:space="preserve"> mode of learning had a higher Posttest score in the </w:t>
      </w:r>
      <w:r w:rsidRPr="00FD0B91">
        <w:rPr>
          <w:i/>
        </w:rPr>
        <w:t>graphic organizer</w:t>
      </w:r>
      <w:r w:rsidRPr="00FD0B91">
        <w:t xml:space="preserve"> and in the </w:t>
      </w:r>
      <w:r w:rsidRPr="00FD0B91">
        <w:rPr>
          <w:i/>
        </w:rPr>
        <w:t>n-dimensional knowledge organizer</w:t>
      </w:r>
      <w:r w:rsidRPr="00FD0B91">
        <w:t xml:space="preserve"> groups than in the </w:t>
      </w:r>
      <w:r w:rsidRPr="00FD0B91">
        <w:rPr>
          <w:i/>
        </w:rPr>
        <w:t>essay</w:t>
      </w:r>
      <w:r w:rsidRPr="00FD0B91">
        <w:t xml:space="preserve"> group, and that no statistically significant differences in Posttest existed between students in the first two groups who preferred the </w:t>
      </w:r>
      <w:r w:rsidRPr="00FD0B91">
        <w:rPr>
          <w:i/>
        </w:rPr>
        <w:t>iconic</w:t>
      </w:r>
      <w:r w:rsidRPr="00FD0B91">
        <w:t xml:space="preserve"> mode of learning. A somewhat different pattern was identified in the case of students with a </w:t>
      </w:r>
      <w:r w:rsidRPr="00FD0B91">
        <w:rPr>
          <w:i/>
        </w:rPr>
        <w:t>direct experience</w:t>
      </w:r>
      <w:r w:rsidRPr="00FD0B91">
        <w:t xml:space="preserve"> mode of learning.  Those who participated in the </w:t>
      </w:r>
      <w:r w:rsidRPr="00FD0B91">
        <w:rPr>
          <w:i/>
        </w:rPr>
        <w:t>n-dimensional knowledge organizer</w:t>
      </w:r>
      <w:r w:rsidRPr="00FD0B91">
        <w:t xml:space="preserve"> group scored higher on the Posttest than students in the </w:t>
      </w:r>
      <w:r w:rsidRPr="00FD0B91">
        <w:rPr>
          <w:i/>
        </w:rPr>
        <w:t>graphic organizer</w:t>
      </w:r>
      <w:r w:rsidRPr="00FD0B91">
        <w:t xml:space="preserve"> or in the </w:t>
      </w:r>
      <w:r w:rsidRPr="00FD0B91">
        <w:rPr>
          <w:i/>
        </w:rPr>
        <w:t>essay</w:t>
      </w:r>
      <w:r w:rsidRPr="00FD0B91">
        <w:t xml:space="preserve"> groups, with no statistically significant differences between the last two.</w:t>
      </w:r>
    </w:p>
    <w:p w:rsidR="00372911" w:rsidRDefault="00372911" w:rsidP="00372911">
      <w:pPr>
        <w:pStyle w:val="Heading3"/>
      </w:pPr>
      <w:r w:rsidRPr="00F85C8B">
        <w:t>Conclusion</w:t>
      </w:r>
    </w:p>
    <w:p w:rsidR="00372911" w:rsidRDefault="00372911" w:rsidP="00372911">
      <w:pPr>
        <w:rPr>
          <w:b/>
        </w:rPr>
      </w:pPr>
      <w:r>
        <w:t>Previous studies have suggested that the graphic representation of concepts facilitates the identification of</w:t>
      </w:r>
      <w:r w:rsidRPr="00EF3C8F">
        <w:t xml:space="preserve"> relationships </w:t>
      </w:r>
      <w:r>
        <w:t>among</w:t>
      </w:r>
      <w:r w:rsidRPr="00EF3C8F">
        <w:t xml:space="preserve"> </w:t>
      </w:r>
      <w:r>
        <w:t>ideas</w:t>
      </w:r>
      <w:r w:rsidRPr="00EF3C8F">
        <w:t xml:space="preserve">, </w:t>
      </w:r>
      <w:r>
        <w:t>the retrieval</w:t>
      </w:r>
      <w:r w:rsidRPr="00EF3C8F">
        <w:t xml:space="preserve"> </w:t>
      </w:r>
      <w:r>
        <w:t xml:space="preserve">of </w:t>
      </w:r>
      <w:r w:rsidRPr="00EF3C8F">
        <w:t xml:space="preserve">information, and </w:t>
      </w:r>
      <w:r>
        <w:t>the connection of</w:t>
      </w:r>
      <w:r w:rsidRPr="00EF3C8F">
        <w:t xml:space="preserve"> new information to prior knowledge (Cassidy, 1994)</w:t>
      </w:r>
      <w:r>
        <w:t>.  According to Freed (2006), visual learners benefit from this type of representations more than from the use sequential, left-brained teaching styles</w:t>
      </w:r>
      <w:r w:rsidRPr="00EF3C8F">
        <w:t xml:space="preserve">.  In the case of college students, it </w:t>
      </w:r>
      <w:r>
        <w:t>has been</w:t>
      </w:r>
      <w:r w:rsidRPr="00EF3C8F">
        <w:t xml:space="preserve"> found that judgments of </w:t>
      </w:r>
      <w:proofErr w:type="spellStart"/>
      <w:r w:rsidRPr="00EF3C8F">
        <w:t>interconcept</w:t>
      </w:r>
      <w:proofErr w:type="spellEnd"/>
      <w:r w:rsidRPr="00EF3C8F">
        <w:t xml:space="preserve"> relations </w:t>
      </w:r>
      <w:r>
        <w:t>improve</w:t>
      </w:r>
      <w:r w:rsidRPr="00EF3C8F">
        <w:t xml:space="preserve"> with the use of graphic organizers </w:t>
      </w:r>
      <w:r>
        <w:t>and that students can more readily draw inferences when they use two-dimensional spaces that facilitate the communication of hierarchical relations (</w:t>
      </w:r>
      <w:proofErr w:type="spellStart"/>
      <w:r w:rsidRPr="00EF3C8F">
        <w:t>Robinon</w:t>
      </w:r>
      <w:r>
        <w:t>s</w:t>
      </w:r>
      <w:proofErr w:type="spellEnd"/>
      <w:r>
        <w:t xml:space="preserve"> and </w:t>
      </w:r>
      <w:proofErr w:type="spellStart"/>
      <w:r>
        <w:t>Schraw</w:t>
      </w:r>
      <w:proofErr w:type="spellEnd"/>
      <w:r>
        <w:t xml:space="preserve">, </w:t>
      </w:r>
      <w:r w:rsidRPr="00EF3C8F">
        <w:t>1994)</w:t>
      </w:r>
      <w:r>
        <w:t xml:space="preserve">.  While two-dimensional representations of knowledge promote the expression of conceptual knowledge, they provide a limited framework to convey instances of procedural knowledge.  </w:t>
      </w:r>
      <w:proofErr w:type="spellStart"/>
      <w:r>
        <w:t>Alty</w:t>
      </w:r>
      <w:proofErr w:type="spellEnd"/>
      <w:r>
        <w:t xml:space="preserve"> (2002) points out </w:t>
      </w:r>
      <w:proofErr w:type="gramStart"/>
      <w:r>
        <w:t>that procedural elements</w:t>
      </w:r>
      <w:proofErr w:type="gramEnd"/>
      <w:r>
        <w:t xml:space="preserve"> are important because they embody real-world scenarios that are more accurately recalled than static visual representations of conceptual understandings. </w:t>
      </w:r>
      <w:proofErr w:type="spellStart"/>
      <w:r w:rsidRPr="007246EF">
        <w:t>Beachman</w:t>
      </w:r>
      <w:proofErr w:type="spellEnd"/>
      <w:r w:rsidRPr="007246EF">
        <w:t xml:space="preserve">, Elliott, </w:t>
      </w:r>
      <w:proofErr w:type="spellStart"/>
      <w:r w:rsidRPr="007246EF">
        <w:t>Alty</w:t>
      </w:r>
      <w:proofErr w:type="spellEnd"/>
      <w:r w:rsidRPr="007246EF">
        <w:t xml:space="preserve"> and Al-</w:t>
      </w:r>
      <w:proofErr w:type="spellStart"/>
      <w:r w:rsidRPr="004274CE">
        <w:t>Sharrah</w:t>
      </w:r>
      <w:proofErr w:type="spellEnd"/>
      <w:r w:rsidRPr="004274CE">
        <w:t xml:space="preserve"> (2002) found that learning is enhanced when materials are presented using sound and diagrams, regardless of the student’s learning style. </w:t>
      </w:r>
    </w:p>
    <w:p w:rsidR="00372911" w:rsidRDefault="00372911" w:rsidP="00372911">
      <w:pPr>
        <w:rPr>
          <w:bCs/>
        </w:rPr>
      </w:pPr>
      <w:r w:rsidRPr="004274CE">
        <w:rPr>
          <w:rFonts w:cs="Arial"/>
        </w:rPr>
        <w:t xml:space="preserve">The use of hypermedia technology allows for the incorporation of an unlimited number of static and dynamic representations of knowledge.  </w:t>
      </w:r>
      <w:r w:rsidRPr="004274CE">
        <w:t xml:space="preserve">Hypermedia, an expansion of the hypertext concept that allows for the inclusion of media </w:t>
      </w:r>
      <w:r>
        <w:t>and</w:t>
      </w:r>
      <w:r w:rsidRPr="004274CE">
        <w:t xml:space="preserve"> data links, provides an opportunity to match learning styles and learning methods (</w:t>
      </w:r>
      <w:proofErr w:type="spellStart"/>
      <w:r w:rsidRPr="004274CE">
        <w:t>Mizell</w:t>
      </w:r>
      <w:proofErr w:type="spellEnd"/>
      <w:r w:rsidRPr="004274CE">
        <w:t xml:space="preserve"> &amp; Lever, 1990).</w:t>
      </w:r>
      <w:r>
        <w:rPr>
          <w:rFonts w:cs="Arial"/>
        </w:rPr>
        <w:t xml:space="preserve"> S</w:t>
      </w:r>
      <w:r w:rsidRPr="004274CE">
        <w:t xml:space="preserve">ome researchers have argued </w:t>
      </w:r>
      <w:r>
        <w:t>that computer-based environments do not benefit all learners equally, as</w:t>
      </w:r>
      <w:r w:rsidRPr="004274CE">
        <w:t xml:space="preserve"> learning styles represent an important mediator of knowledge acquisition (Atkins, Moore, Sharpe, and Hobbs, 2001; </w:t>
      </w:r>
      <w:r w:rsidRPr="0053408A">
        <w:rPr>
          <w:bCs/>
        </w:rPr>
        <w:t>Choi, Lee and Jung, 2008</w:t>
      </w:r>
      <w:r>
        <w:rPr>
          <w:bCs/>
        </w:rPr>
        <w:t xml:space="preserve">: </w:t>
      </w:r>
      <w:proofErr w:type="spellStart"/>
      <w:r w:rsidRPr="004274CE">
        <w:t>Erka</w:t>
      </w:r>
      <w:proofErr w:type="spellEnd"/>
      <w:r w:rsidRPr="004274CE">
        <w:t>, 1998</w:t>
      </w:r>
      <w:r>
        <w:t>; Gallagher, 2010</w:t>
      </w:r>
      <w:r w:rsidRPr="004274CE">
        <w:t xml:space="preserve">). </w:t>
      </w:r>
      <w:r>
        <w:t>While some researchers believe that hypermedia environments accommodate for most types of learning styles (</w:t>
      </w:r>
      <w:proofErr w:type="spellStart"/>
      <w:r>
        <w:t>Akbulut</w:t>
      </w:r>
      <w:proofErr w:type="spellEnd"/>
      <w:r>
        <w:t xml:space="preserve">, 2008), others have </w:t>
      </w:r>
      <w:r w:rsidRPr="004274CE">
        <w:t>f</w:t>
      </w:r>
      <w:r>
        <w:t>ound that levels of achievement</w:t>
      </w:r>
      <w:r w:rsidRPr="004274CE">
        <w:t xml:space="preserve"> using hypertext are differentially distributed across learning styles</w:t>
      </w:r>
      <w:r w:rsidRPr="00224039">
        <w:t xml:space="preserve"> </w:t>
      </w:r>
      <w:r>
        <w:t>(Frey and Simonson</w:t>
      </w:r>
      <w:proofErr w:type="gramStart"/>
      <w:r>
        <w:t>,1990</w:t>
      </w:r>
      <w:proofErr w:type="gramEnd"/>
      <w:r>
        <w:t xml:space="preserve">; </w:t>
      </w:r>
      <w:proofErr w:type="spellStart"/>
      <w:r>
        <w:t>Rourke</w:t>
      </w:r>
      <w:proofErr w:type="spellEnd"/>
      <w:r>
        <w:t xml:space="preserve"> and </w:t>
      </w:r>
      <w:proofErr w:type="spellStart"/>
      <w:r>
        <w:t>Lysynchuk</w:t>
      </w:r>
      <w:proofErr w:type="spellEnd"/>
      <w:r>
        <w:t xml:space="preserve">, </w:t>
      </w:r>
      <w:r w:rsidRPr="004274CE">
        <w:t xml:space="preserve">2000). </w:t>
      </w:r>
      <w:r>
        <w:t xml:space="preserve">Liu and Reed (1994) concluded that field-dependent learners use the hypermedia environment more extensively and benefit more from viewing videos than field-independent learners. </w:t>
      </w:r>
      <w:r w:rsidRPr="004274CE">
        <w:t xml:space="preserve">The results of this study indicate that learning styles mediate the effects of multimedia technology.  </w:t>
      </w:r>
      <w:r>
        <w:t xml:space="preserve">Students with an </w:t>
      </w:r>
      <w:r w:rsidRPr="00344EF4">
        <w:rPr>
          <w:i/>
        </w:rPr>
        <w:t>iconic</w:t>
      </w:r>
      <w:r>
        <w:t xml:space="preserve"> and with a </w:t>
      </w:r>
      <w:r w:rsidRPr="00344EF4">
        <w:rPr>
          <w:i/>
        </w:rPr>
        <w:t>direct experience</w:t>
      </w:r>
      <w:r>
        <w:t xml:space="preserve"> mode of learning using hypermedia-supported n-dimensional knowledge organizers performed better on the posttest than students who used essays to construct and communicate their learning. </w:t>
      </w:r>
      <w:r w:rsidRPr="004274CE">
        <w:t>These findings</w:t>
      </w:r>
      <w:r>
        <w:t xml:space="preserve"> are compatible with those obtained by </w:t>
      </w:r>
      <w:proofErr w:type="spellStart"/>
      <w:r w:rsidRPr="00362DF8">
        <w:t>Avitabile</w:t>
      </w:r>
      <w:proofErr w:type="spellEnd"/>
      <w:r w:rsidRPr="00362DF8">
        <w:t xml:space="preserve"> (1998)</w:t>
      </w:r>
      <w:r>
        <w:t>, who points out</w:t>
      </w:r>
      <w:r w:rsidRPr="00362DF8">
        <w:t xml:space="preserve"> that students using multimedia </w:t>
      </w:r>
      <w:r>
        <w:t>do</w:t>
      </w:r>
      <w:r w:rsidRPr="00362DF8">
        <w:t xml:space="preserve"> significantly</w:t>
      </w:r>
      <w:r>
        <w:t xml:space="preserve"> better on measures of achievement than those being exposed to traditional approaches.  </w:t>
      </w:r>
    </w:p>
    <w:p w:rsidR="00372911" w:rsidRDefault="00372911" w:rsidP="00372911">
      <w:r>
        <w:t>Because studies have shown that students with a preference for an intuitive, active approach to perceiving and processing information perform best in environments that foster the interaction with peers and instructors as they deal with the concrete presentation of practical information (</w:t>
      </w:r>
      <w:proofErr w:type="spellStart"/>
      <w:r>
        <w:t>Rourke</w:t>
      </w:r>
      <w:proofErr w:type="spellEnd"/>
      <w:r>
        <w:t xml:space="preserve"> and </w:t>
      </w:r>
      <w:proofErr w:type="spellStart"/>
      <w:r>
        <w:t>Lysynchuk</w:t>
      </w:r>
      <w:proofErr w:type="spellEnd"/>
      <w:r>
        <w:t xml:space="preserve">, </w:t>
      </w:r>
      <w:r w:rsidRPr="004274CE">
        <w:t>2000)</w:t>
      </w:r>
      <w:r>
        <w:t xml:space="preserve">, future research should compare hypermedia-based technology with learning environments that foster this type of interaction. </w:t>
      </w:r>
    </w:p>
    <w:p w:rsidR="00372911" w:rsidRDefault="00372911" w:rsidP="00372911">
      <w:pPr>
        <w:pStyle w:val="Heading3"/>
      </w:pPr>
      <w:r w:rsidRPr="00F85C8B">
        <w:t>References</w:t>
      </w:r>
    </w:p>
    <w:p w:rsidR="00372911" w:rsidRPr="00372911" w:rsidRDefault="00372911" w:rsidP="00372911">
      <w:pPr>
        <w:ind w:left="720" w:hanging="720"/>
        <w:rPr>
          <w:rFonts w:cs="Arial"/>
          <w:bCs/>
          <w:sz w:val="20"/>
        </w:rPr>
      </w:pPr>
      <w:proofErr w:type="spellStart"/>
      <w:r w:rsidRPr="00372911">
        <w:rPr>
          <w:rFonts w:cs="Arial"/>
          <w:bCs/>
          <w:sz w:val="20"/>
        </w:rPr>
        <w:t>Akbulut</w:t>
      </w:r>
      <w:proofErr w:type="spellEnd"/>
      <w:r w:rsidRPr="00372911">
        <w:rPr>
          <w:rFonts w:cs="Arial"/>
          <w:bCs/>
          <w:sz w:val="20"/>
        </w:rPr>
        <w:t xml:space="preserve">, Y. (2008).  </w:t>
      </w:r>
      <w:proofErr w:type="gramStart"/>
      <w:r w:rsidRPr="00372911">
        <w:rPr>
          <w:rFonts w:cs="Arial"/>
          <w:bCs/>
          <w:sz w:val="20"/>
        </w:rPr>
        <w:t>Predictors of foreign language reading comprehension in a hypermedia reading environment.</w:t>
      </w:r>
      <w:proofErr w:type="gramEnd"/>
      <w:r w:rsidRPr="00372911">
        <w:rPr>
          <w:rFonts w:cs="Arial"/>
          <w:bCs/>
          <w:sz w:val="20"/>
        </w:rPr>
        <w:t xml:space="preserve"> </w:t>
      </w:r>
      <w:r w:rsidRPr="00372911">
        <w:rPr>
          <w:rFonts w:cs="Arial"/>
          <w:bCs/>
          <w:i/>
          <w:sz w:val="20"/>
        </w:rPr>
        <w:t>Journal of Educational Computing Research, 39</w:t>
      </w:r>
      <w:r w:rsidRPr="00372911">
        <w:rPr>
          <w:rFonts w:cs="Arial"/>
          <w:bCs/>
          <w:sz w:val="20"/>
        </w:rPr>
        <w:t>(1), 37-50.</w:t>
      </w:r>
    </w:p>
    <w:p w:rsidR="00372911" w:rsidRPr="00372911" w:rsidRDefault="00372911" w:rsidP="00372911">
      <w:pPr>
        <w:ind w:left="720" w:hanging="720"/>
        <w:rPr>
          <w:rFonts w:cs="Arial"/>
          <w:bCs/>
          <w:sz w:val="20"/>
        </w:rPr>
      </w:pPr>
      <w:proofErr w:type="spellStart"/>
      <w:proofErr w:type="gramStart"/>
      <w:r w:rsidRPr="00372911">
        <w:rPr>
          <w:rFonts w:cs="Arial"/>
          <w:bCs/>
          <w:sz w:val="20"/>
        </w:rPr>
        <w:t>Akbulut</w:t>
      </w:r>
      <w:proofErr w:type="spellEnd"/>
      <w:r w:rsidRPr="00372911">
        <w:rPr>
          <w:rFonts w:cs="Arial"/>
          <w:bCs/>
          <w:sz w:val="20"/>
        </w:rPr>
        <w:t xml:space="preserve">, Y. &amp; </w:t>
      </w:r>
      <w:proofErr w:type="spellStart"/>
      <w:r w:rsidRPr="00372911">
        <w:rPr>
          <w:rFonts w:cs="Arial"/>
          <w:bCs/>
          <w:sz w:val="20"/>
        </w:rPr>
        <w:t>Cardak</w:t>
      </w:r>
      <w:proofErr w:type="spellEnd"/>
      <w:r w:rsidRPr="00372911">
        <w:rPr>
          <w:rFonts w:cs="Arial"/>
          <w:bCs/>
          <w:sz w:val="20"/>
        </w:rPr>
        <w:t>, C. S. (2012).</w:t>
      </w:r>
      <w:proofErr w:type="gramEnd"/>
      <w:r w:rsidRPr="00372911">
        <w:rPr>
          <w:rFonts w:cs="Arial"/>
          <w:bCs/>
          <w:sz w:val="20"/>
        </w:rPr>
        <w:t xml:space="preserve">  Adaptive educational hypermedia accommodating learning styles: A content analysis of publications from 1000 to 2011.  </w:t>
      </w:r>
      <w:r w:rsidRPr="00372911">
        <w:rPr>
          <w:rFonts w:cs="Arial"/>
          <w:bCs/>
          <w:i/>
          <w:sz w:val="20"/>
        </w:rPr>
        <w:t>Computers &amp; Education, 58</w:t>
      </w:r>
      <w:r w:rsidRPr="00372911">
        <w:rPr>
          <w:rFonts w:cs="Arial"/>
          <w:bCs/>
          <w:sz w:val="20"/>
        </w:rPr>
        <w:t>(2), 835-842.</w:t>
      </w:r>
    </w:p>
    <w:p w:rsidR="00372911" w:rsidRPr="00372911" w:rsidRDefault="00372911" w:rsidP="00372911">
      <w:pPr>
        <w:ind w:left="720" w:hanging="720"/>
        <w:rPr>
          <w:rFonts w:cs="Arial"/>
          <w:bCs/>
          <w:sz w:val="20"/>
        </w:rPr>
      </w:pPr>
      <w:proofErr w:type="spellStart"/>
      <w:r w:rsidRPr="00372911">
        <w:rPr>
          <w:rFonts w:cs="Arial"/>
          <w:bCs/>
          <w:sz w:val="20"/>
        </w:rPr>
        <w:t>Alty</w:t>
      </w:r>
      <w:proofErr w:type="spellEnd"/>
      <w:r w:rsidRPr="00372911">
        <w:rPr>
          <w:rFonts w:cs="Arial"/>
          <w:bCs/>
          <w:sz w:val="20"/>
        </w:rPr>
        <w:t>, J. L.  (2002)</w:t>
      </w:r>
      <w:proofErr w:type="gramStart"/>
      <w:r w:rsidRPr="00372911">
        <w:rPr>
          <w:rFonts w:cs="Arial"/>
          <w:bCs/>
          <w:sz w:val="20"/>
        </w:rPr>
        <w:t>.  Dual</w:t>
      </w:r>
      <w:proofErr w:type="gramEnd"/>
      <w:r w:rsidRPr="00372911">
        <w:rPr>
          <w:rFonts w:cs="Arial"/>
          <w:bCs/>
          <w:sz w:val="20"/>
        </w:rPr>
        <w:t xml:space="preserve"> Coding Theory and computer education: Some media experiments to examine the effects of different media on learning.  </w:t>
      </w:r>
      <w:proofErr w:type="gramStart"/>
      <w:r w:rsidRPr="00372911">
        <w:rPr>
          <w:rFonts w:cs="Arial"/>
          <w:bCs/>
          <w:i/>
          <w:sz w:val="20"/>
        </w:rPr>
        <w:t>Proceedings of the 2002 World Conference on Educational Multimedia, Hypermedia &amp; Telecommunications</w:t>
      </w:r>
      <w:r w:rsidRPr="00372911">
        <w:rPr>
          <w:rFonts w:cs="Arial"/>
          <w:bCs/>
          <w:sz w:val="20"/>
        </w:rPr>
        <w:t>, Denver, CO.</w:t>
      </w:r>
      <w:proofErr w:type="gramEnd"/>
      <w:r w:rsidRPr="00372911">
        <w:rPr>
          <w:rFonts w:cs="Arial"/>
          <w:bCs/>
          <w:sz w:val="20"/>
        </w:rPr>
        <w:t xml:space="preserve">  </w:t>
      </w:r>
      <w:proofErr w:type="gramStart"/>
      <w:r w:rsidRPr="00372911">
        <w:rPr>
          <w:rFonts w:cs="Arial"/>
          <w:bCs/>
          <w:sz w:val="20"/>
        </w:rPr>
        <w:t>(ERIC Document Reproduction Service No.</w:t>
      </w:r>
      <w:proofErr w:type="gramEnd"/>
      <w:r w:rsidRPr="00372911">
        <w:rPr>
          <w:rFonts w:cs="Arial"/>
          <w:bCs/>
          <w:sz w:val="20"/>
        </w:rPr>
        <w:t xml:space="preserve"> ED 476 964)</w:t>
      </w:r>
    </w:p>
    <w:p w:rsidR="00372911" w:rsidRPr="00372911" w:rsidRDefault="00372911" w:rsidP="00372911">
      <w:pPr>
        <w:ind w:left="720" w:hanging="720"/>
        <w:rPr>
          <w:rFonts w:cs="Arial"/>
          <w:bCs/>
          <w:sz w:val="20"/>
        </w:rPr>
      </w:pPr>
      <w:proofErr w:type="gramStart"/>
      <w:r w:rsidRPr="00372911">
        <w:rPr>
          <w:rFonts w:cs="Arial"/>
          <w:bCs/>
          <w:sz w:val="20"/>
        </w:rPr>
        <w:t xml:space="preserve">Atkins, H., Moore, D., Sharpe, S., </w:t>
      </w:r>
      <w:proofErr w:type="spellStart"/>
      <w:r w:rsidRPr="00372911">
        <w:rPr>
          <w:rFonts w:cs="Arial"/>
          <w:bCs/>
          <w:sz w:val="20"/>
        </w:rPr>
        <w:t>Hoobs</w:t>
      </w:r>
      <w:proofErr w:type="spellEnd"/>
      <w:r w:rsidRPr="00372911">
        <w:rPr>
          <w:rFonts w:cs="Arial"/>
          <w:bCs/>
          <w:sz w:val="20"/>
        </w:rPr>
        <w:t>, D.</w:t>
      </w:r>
      <w:proofErr w:type="gramEnd"/>
      <w:r w:rsidRPr="00372911">
        <w:rPr>
          <w:rFonts w:cs="Arial"/>
          <w:bCs/>
          <w:sz w:val="20"/>
        </w:rPr>
        <w:t xml:space="preserve">  </w:t>
      </w:r>
      <w:proofErr w:type="gramStart"/>
      <w:r w:rsidRPr="00372911">
        <w:rPr>
          <w:rFonts w:cs="Arial"/>
          <w:bCs/>
          <w:sz w:val="20"/>
        </w:rPr>
        <w:t xml:space="preserve">(2001. </w:t>
      </w:r>
      <w:r w:rsidRPr="00372911">
        <w:rPr>
          <w:rFonts w:cs="Arial"/>
          <w:bCs/>
          <w:i/>
          <w:sz w:val="20"/>
        </w:rPr>
        <w:t>Proceedings of the 2001 World Conference on Educational Multimedia, Hypermedia &amp; Telecommunications</w:t>
      </w:r>
      <w:r w:rsidRPr="00372911">
        <w:rPr>
          <w:rFonts w:cs="Arial"/>
          <w:bCs/>
          <w:sz w:val="20"/>
        </w:rPr>
        <w:t>, Tampere, Finland.</w:t>
      </w:r>
      <w:proofErr w:type="gramEnd"/>
      <w:r w:rsidRPr="00372911">
        <w:rPr>
          <w:rFonts w:cs="Arial"/>
          <w:bCs/>
          <w:sz w:val="20"/>
        </w:rPr>
        <w:t xml:space="preserve">  (ERIC Document Reproduction Service No. 466 131)</w:t>
      </w:r>
    </w:p>
    <w:p w:rsidR="00372911" w:rsidRPr="00372911" w:rsidRDefault="00372911" w:rsidP="00372911">
      <w:pPr>
        <w:ind w:left="720" w:hanging="720"/>
        <w:rPr>
          <w:rFonts w:cs="Arial"/>
          <w:sz w:val="20"/>
        </w:rPr>
      </w:pPr>
      <w:proofErr w:type="spellStart"/>
      <w:r w:rsidRPr="00372911">
        <w:rPr>
          <w:rFonts w:cs="Arial"/>
          <w:sz w:val="20"/>
        </w:rPr>
        <w:t>Ausubel</w:t>
      </w:r>
      <w:proofErr w:type="spellEnd"/>
      <w:r w:rsidRPr="00372911">
        <w:rPr>
          <w:rFonts w:cs="Arial"/>
          <w:sz w:val="20"/>
        </w:rPr>
        <w:t xml:space="preserve">, D. (1963).  </w:t>
      </w:r>
      <w:proofErr w:type="gramStart"/>
      <w:r w:rsidRPr="00372911">
        <w:rPr>
          <w:rFonts w:cs="Arial"/>
          <w:i/>
          <w:sz w:val="20"/>
        </w:rPr>
        <w:t>The psychology of meaningful verbal learning</w:t>
      </w:r>
      <w:r w:rsidRPr="00372911">
        <w:rPr>
          <w:rFonts w:cs="Arial"/>
          <w:sz w:val="20"/>
        </w:rPr>
        <w:t>.</w:t>
      </w:r>
      <w:proofErr w:type="gramEnd"/>
      <w:r w:rsidRPr="00372911">
        <w:rPr>
          <w:rFonts w:cs="Arial"/>
          <w:sz w:val="20"/>
        </w:rPr>
        <w:t xml:space="preserve">  Cambridge: University Press.</w:t>
      </w:r>
    </w:p>
    <w:p w:rsidR="00372911" w:rsidRPr="00372911" w:rsidRDefault="00372911" w:rsidP="00372911">
      <w:pPr>
        <w:ind w:left="720" w:hanging="720"/>
        <w:rPr>
          <w:rFonts w:cs="Arial"/>
          <w:sz w:val="20"/>
        </w:rPr>
      </w:pPr>
      <w:proofErr w:type="spellStart"/>
      <w:proofErr w:type="gramStart"/>
      <w:r w:rsidRPr="00372911">
        <w:rPr>
          <w:rFonts w:cs="Arial"/>
          <w:sz w:val="20"/>
        </w:rPr>
        <w:t>Ausubel</w:t>
      </w:r>
      <w:proofErr w:type="spellEnd"/>
      <w:r w:rsidRPr="00372911">
        <w:rPr>
          <w:rFonts w:cs="Arial"/>
          <w:sz w:val="20"/>
        </w:rPr>
        <w:t>, D. P. (1968).</w:t>
      </w:r>
      <w:proofErr w:type="gramEnd"/>
      <w:r w:rsidRPr="00372911">
        <w:rPr>
          <w:rFonts w:cs="Arial"/>
          <w:sz w:val="20"/>
        </w:rPr>
        <w:t xml:space="preserve"> </w:t>
      </w:r>
      <w:r w:rsidRPr="00372911">
        <w:rPr>
          <w:rFonts w:cs="Arial"/>
          <w:i/>
          <w:sz w:val="20"/>
        </w:rPr>
        <w:t>Educational psychology: A cognitive view</w:t>
      </w:r>
      <w:r w:rsidRPr="00372911">
        <w:rPr>
          <w:rFonts w:cs="Arial"/>
          <w:sz w:val="20"/>
        </w:rPr>
        <w:t xml:space="preserve">. New York: Holt </w:t>
      </w:r>
      <w:proofErr w:type="spellStart"/>
      <w:r w:rsidRPr="00372911">
        <w:rPr>
          <w:rFonts w:cs="Arial"/>
          <w:sz w:val="20"/>
        </w:rPr>
        <w:t>Rinehrt</w:t>
      </w:r>
      <w:proofErr w:type="spellEnd"/>
      <w:r w:rsidRPr="00372911">
        <w:rPr>
          <w:rFonts w:cs="Arial"/>
          <w:sz w:val="20"/>
        </w:rPr>
        <w:t xml:space="preserve"> and Winston. </w:t>
      </w:r>
    </w:p>
    <w:p w:rsidR="00372911" w:rsidRPr="00372911" w:rsidRDefault="00372911" w:rsidP="00372911">
      <w:pPr>
        <w:ind w:left="720" w:hanging="720"/>
        <w:rPr>
          <w:rFonts w:cs="Arial"/>
          <w:bCs/>
          <w:sz w:val="20"/>
        </w:rPr>
      </w:pPr>
      <w:proofErr w:type="spellStart"/>
      <w:r w:rsidRPr="00372911">
        <w:rPr>
          <w:rFonts w:cs="Arial"/>
          <w:bCs/>
          <w:sz w:val="20"/>
        </w:rPr>
        <w:t>Avitabile</w:t>
      </w:r>
      <w:proofErr w:type="spellEnd"/>
      <w:r w:rsidRPr="00372911">
        <w:rPr>
          <w:rFonts w:cs="Arial"/>
          <w:bCs/>
          <w:sz w:val="20"/>
        </w:rPr>
        <w:t xml:space="preserve">, J. (1998. </w:t>
      </w:r>
      <w:proofErr w:type="gramStart"/>
      <w:r w:rsidRPr="00372911">
        <w:rPr>
          <w:rFonts w:cs="Arial"/>
          <w:bCs/>
          <w:sz w:val="20"/>
        </w:rPr>
        <w:t>Interaction of presentation mode and learning style in computer science.</w:t>
      </w:r>
      <w:proofErr w:type="gramEnd"/>
      <w:r w:rsidRPr="00372911">
        <w:rPr>
          <w:rFonts w:cs="Arial"/>
          <w:bCs/>
          <w:sz w:val="20"/>
        </w:rPr>
        <w:t xml:space="preserve">  </w:t>
      </w:r>
      <w:proofErr w:type="gramStart"/>
      <w:r w:rsidRPr="00372911">
        <w:rPr>
          <w:rFonts w:cs="Arial"/>
          <w:bCs/>
          <w:i/>
          <w:sz w:val="20"/>
        </w:rPr>
        <w:t>Proceedings of the National Educating Computing Conference</w:t>
      </w:r>
      <w:r w:rsidRPr="00372911">
        <w:rPr>
          <w:rFonts w:cs="Arial"/>
          <w:bCs/>
          <w:sz w:val="20"/>
        </w:rPr>
        <w:t>, San Diego, CA.</w:t>
      </w:r>
      <w:proofErr w:type="gramEnd"/>
      <w:r w:rsidRPr="00372911">
        <w:rPr>
          <w:rFonts w:cs="Arial"/>
          <w:bCs/>
          <w:sz w:val="20"/>
        </w:rPr>
        <w:t xml:space="preserve">  (ERIC Document Reproduction Service No. 419 492)</w:t>
      </w:r>
    </w:p>
    <w:p w:rsidR="00372911" w:rsidRPr="00372911" w:rsidRDefault="00372911" w:rsidP="00372911">
      <w:pPr>
        <w:ind w:left="720" w:hanging="720"/>
        <w:rPr>
          <w:rFonts w:cs="Arial"/>
          <w:bCs/>
          <w:sz w:val="20"/>
        </w:rPr>
      </w:pPr>
      <w:proofErr w:type="spellStart"/>
      <w:proofErr w:type="gramStart"/>
      <w:r w:rsidRPr="00372911">
        <w:rPr>
          <w:rFonts w:cs="Arial"/>
          <w:bCs/>
          <w:sz w:val="20"/>
        </w:rPr>
        <w:t>Beachmen</w:t>
      </w:r>
      <w:proofErr w:type="spellEnd"/>
      <w:r w:rsidRPr="00372911">
        <w:rPr>
          <w:rFonts w:cs="Arial"/>
          <w:bCs/>
          <w:sz w:val="20"/>
        </w:rPr>
        <w:t xml:space="preserve">, N. A., Elliott, A. C., </w:t>
      </w:r>
      <w:proofErr w:type="spellStart"/>
      <w:r w:rsidRPr="00372911">
        <w:rPr>
          <w:rFonts w:cs="Arial"/>
          <w:bCs/>
          <w:sz w:val="20"/>
        </w:rPr>
        <w:t>Alty</w:t>
      </w:r>
      <w:proofErr w:type="spellEnd"/>
      <w:r w:rsidRPr="00372911">
        <w:rPr>
          <w:rFonts w:cs="Arial"/>
          <w:bCs/>
          <w:sz w:val="20"/>
        </w:rPr>
        <w:t>, J. L., &amp; Al-</w:t>
      </w:r>
      <w:proofErr w:type="spellStart"/>
      <w:r w:rsidRPr="00372911">
        <w:rPr>
          <w:rFonts w:cs="Arial"/>
          <w:bCs/>
          <w:sz w:val="20"/>
        </w:rPr>
        <w:t>Sharrah</w:t>
      </w:r>
      <w:proofErr w:type="spellEnd"/>
      <w:r w:rsidRPr="00372911">
        <w:rPr>
          <w:rFonts w:cs="Arial"/>
          <w:bCs/>
          <w:sz w:val="20"/>
        </w:rPr>
        <w:t>, A. (2002).</w:t>
      </w:r>
      <w:proofErr w:type="gramEnd"/>
      <w:r w:rsidRPr="00372911">
        <w:rPr>
          <w:rFonts w:cs="Arial"/>
          <w:bCs/>
          <w:sz w:val="20"/>
        </w:rPr>
        <w:t xml:space="preserve">  Media combinations and learning styles: A dual coding approach.  </w:t>
      </w:r>
      <w:proofErr w:type="gramStart"/>
      <w:r w:rsidRPr="00372911">
        <w:rPr>
          <w:rFonts w:cs="Arial"/>
          <w:bCs/>
          <w:i/>
          <w:sz w:val="20"/>
        </w:rPr>
        <w:t>Proceedings of the 2002 World Conference on Educational Multimedia, Hypermedia &amp; Telecommunications</w:t>
      </w:r>
      <w:r w:rsidRPr="00372911">
        <w:rPr>
          <w:rFonts w:cs="Arial"/>
          <w:bCs/>
          <w:sz w:val="20"/>
        </w:rPr>
        <w:t>, Denver, CO.</w:t>
      </w:r>
      <w:proofErr w:type="gramEnd"/>
      <w:r w:rsidRPr="00372911">
        <w:rPr>
          <w:rFonts w:cs="Arial"/>
          <w:bCs/>
          <w:sz w:val="20"/>
        </w:rPr>
        <w:t xml:space="preserve">  (ERIC Document Reproduction Service No. 476 972)</w:t>
      </w:r>
    </w:p>
    <w:p w:rsidR="00372911" w:rsidRPr="00372911" w:rsidRDefault="00372911" w:rsidP="00372911">
      <w:pPr>
        <w:ind w:left="720" w:hanging="720"/>
        <w:rPr>
          <w:rFonts w:cs="Arial"/>
          <w:sz w:val="20"/>
        </w:rPr>
      </w:pPr>
      <w:proofErr w:type="spellStart"/>
      <w:proofErr w:type="gramStart"/>
      <w:r w:rsidRPr="00372911">
        <w:rPr>
          <w:rFonts w:cs="Arial"/>
          <w:sz w:val="20"/>
        </w:rPr>
        <w:t>Bagno</w:t>
      </w:r>
      <w:proofErr w:type="spellEnd"/>
      <w:r w:rsidRPr="00372911">
        <w:rPr>
          <w:rFonts w:cs="Arial"/>
          <w:sz w:val="20"/>
        </w:rPr>
        <w:t xml:space="preserve"> e., &amp; </w:t>
      </w:r>
      <w:proofErr w:type="spellStart"/>
      <w:r w:rsidRPr="00372911">
        <w:rPr>
          <w:rFonts w:cs="Arial"/>
          <w:sz w:val="20"/>
        </w:rPr>
        <w:t>Eylon</w:t>
      </w:r>
      <w:proofErr w:type="spellEnd"/>
      <w:r w:rsidRPr="00372911">
        <w:rPr>
          <w:rFonts w:cs="Arial"/>
          <w:sz w:val="20"/>
        </w:rPr>
        <w:t>, B. (1997).</w:t>
      </w:r>
      <w:proofErr w:type="gramEnd"/>
      <w:r w:rsidRPr="00372911">
        <w:rPr>
          <w:rFonts w:cs="Arial"/>
          <w:sz w:val="20"/>
        </w:rPr>
        <w:t xml:space="preserve"> From problem solving to a knowledge structure: An example from the domain of electromagnetism. </w:t>
      </w:r>
      <w:proofErr w:type="gramStart"/>
      <w:r w:rsidRPr="00372911">
        <w:rPr>
          <w:rFonts w:cs="Arial"/>
          <w:i/>
          <w:sz w:val="20"/>
        </w:rPr>
        <w:t>American Journal of Physics, 65</w:t>
      </w:r>
      <w:r w:rsidRPr="00372911">
        <w:rPr>
          <w:rFonts w:cs="Arial"/>
          <w:sz w:val="20"/>
        </w:rPr>
        <w:t>(8).</w:t>
      </w:r>
      <w:proofErr w:type="gramEnd"/>
      <w:r w:rsidRPr="00372911">
        <w:rPr>
          <w:rFonts w:cs="Arial"/>
          <w:sz w:val="20"/>
        </w:rPr>
        <w:t xml:space="preserve"> </w:t>
      </w:r>
      <w:proofErr w:type="gramStart"/>
      <w:r w:rsidRPr="00372911">
        <w:rPr>
          <w:rFonts w:cs="Arial"/>
          <w:sz w:val="20"/>
        </w:rPr>
        <w:t>726-736.</w:t>
      </w:r>
      <w:proofErr w:type="gramEnd"/>
    </w:p>
    <w:p w:rsidR="00372911" w:rsidRPr="00372911" w:rsidRDefault="00372911" w:rsidP="00372911">
      <w:pPr>
        <w:ind w:left="720" w:hanging="720"/>
        <w:rPr>
          <w:rFonts w:cs="Arial"/>
          <w:sz w:val="20"/>
        </w:rPr>
      </w:pPr>
      <w:r w:rsidRPr="00372911">
        <w:rPr>
          <w:rFonts w:cs="Arial"/>
          <w:sz w:val="20"/>
        </w:rPr>
        <w:t xml:space="preserve">Bauer, </w:t>
      </w:r>
      <w:proofErr w:type="gramStart"/>
      <w:r w:rsidRPr="00372911">
        <w:rPr>
          <w:rFonts w:cs="Arial"/>
          <w:sz w:val="20"/>
        </w:rPr>
        <w:t>M .</w:t>
      </w:r>
      <w:proofErr w:type="gramEnd"/>
      <w:r w:rsidRPr="00372911">
        <w:rPr>
          <w:rFonts w:cs="Arial"/>
          <w:sz w:val="20"/>
        </w:rPr>
        <w:t xml:space="preserve"> </w:t>
      </w:r>
      <w:proofErr w:type="gramStart"/>
      <w:r w:rsidRPr="00372911">
        <w:rPr>
          <w:rFonts w:cs="Arial"/>
          <w:sz w:val="20"/>
        </w:rPr>
        <w:t>I .</w:t>
      </w:r>
      <w:proofErr w:type="gramEnd"/>
      <w:r w:rsidRPr="00372911">
        <w:rPr>
          <w:rFonts w:cs="Arial"/>
          <w:sz w:val="20"/>
        </w:rPr>
        <w:t xml:space="preserve"> , &amp; P. </w:t>
      </w:r>
      <w:proofErr w:type="gramStart"/>
      <w:r w:rsidRPr="00372911">
        <w:rPr>
          <w:rFonts w:cs="Arial"/>
          <w:sz w:val="20"/>
        </w:rPr>
        <w:t>N .</w:t>
      </w:r>
      <w:proofErr w:type="gramEnd"/>
      <w:r w:rsidRPr="00372911">
        <w:rPr>
          <w:rFonts w:cs="Arial"/>
          <w:sz w:val="20"/>
        </w:rPr>
        <w:t xml:space="preserve"> </w:t>
      </w:r>
      <w:proofErr w:type="gramStart"/>
      <w:r w:rsidRPr="00372911">
        <w:rPr>
          <w:rFonts w:cs="Arial"/>
          <w:sz w:val="20"/>
        </w:rPr>
        <w:t>Johnson-Laird.</w:t>
      </w:r>
      <w:proofErr w:type="gramEnd"/>
      <w:r w:rsidRPr="00372911">
        <w:rPr>
          <w:rFonts w:cs="Arial"/>
          <w:sz w:val="20"/>
        </w:rPr>
        <w:t xml:space="preserve"> </w:t>
      </w:r>
      <w:proofErr w:type="gramStart"/>
      <w:r w:rsidRPr="00372911">
        <w:rPr>
          <w:rFonts w:cs="Arial"/>
          <w:sz w:val="20"/>
        </w:rPr>
        <w:t>(1993). How grams can improve reasoning.</w:t>
      </w:r>
      <w:proofErr w:type="gramEnd"/>
      <w:r w:rsidRPr="00372911">
        <w:rPr>
          <w:rFonts w:cs="Arial"/>
          <w:sz w:val="20"/>
        </w:rPr>
        <w:t xml:space="preserve"> </w:t>
      </w:r>
      <w:proofErr w:type="gramStart"/>
      <w:r w:rsidRPr="00372911">
        <w:rPr>
          <w:rFonts w:cs="Arial"/>
          <w:i/>
          <w:sz w:val="20"/>
        </w:rPr>
        <w:t>Psychological Science, 4,</w:t>
      </w:r>
      <w:r w:rsidRPr="00372911">
        <w:rPr>
          <w:rFonts w:cs="Arial"/>
          <w:sz w:val="20"/>
        </w:rPr>
        <w:t>372-378.</w:t>
      </w:r>
      <w:proofErr w:type="gramEnd"/>
    </w:p>
    <w:p w:rsidR="00372911" w:rsidRPr="00372911" w:rsidRDefault="00372911" w:rsidP="00372911">
      <w:pPr>
        <w:ind w:left="720" w:hanging="720"/>
        <w:rPr>
          <w:rFonts w:cs="Arial"/>
          <w:sz w:val="20"/>
        </w:rPr>
      </w:pPr>
      <w:proofErr w:type="spellStart"/>
      <w:proofErr w:type="gramStart"/>
      <w:r w:rsidRPr="00372911">
        <w:rPr>
          <w:rFonts w:cs="Arial"/>
          <w:sz w:val="20"/>
        </w:rPr>
        <w:t>Boshuizen</w:t>
      </w:r>
      <w:proofErr w:type="spellEnd"/>
      <w:r w:rsidRPr="00372911">
        <w:rPr>
          <w:rFonts w:cs="Arial"/>
          <w:sz w:val="20"/>
        </w:rPr>
        <w:t xml:space="preserve">, H.P.A., &amp; </w:t>
      </w:r>
      <w:proofErr w:type="spellStart"/>
      <w:r w:rsidRPr="00372911">
        <w:rPr>
          <w:rFonts w:cs="Arial"/>
          <w:sz w:val="20"/>
        </w:rPr>
        <w:t>Schijf</w:t>
      </w:r>
      <w:proofErr w:type="spellEnd"/>
      <w:r w:rsidRPr="00372911">
        <w:rPr>
          <w:rFonts w:cs="Arial"/>
          <w:sz w:val="20"/>
        </w:rPr>
        <w:t>, H.J.M. (1998).</w:t>
      </w:r>
      <w:proofErr w:type="gramEnd"/>
      <w:r w:rsidRPr="00372911">
        <w:rPr>
          <w:rFonts w:cs="Arial"/>
          <w:sz w:val="20"/>
        </w:rPr>
        <w:t xml:space="preserve"> Problem-solving with multiple representations by multiple and single agents: An analysis of the issues involved. In M.W. Van </w:t>
      </w:r>
      <w:proofErr w:type="spellStart"/>
      <w:r w:rsidRPr="00372911">
        <w:rPr>
          <w:rFonts w:cs="Arial"/>
          <w:sz w:val="20"/>
        </w:rPr>
        <w:t>Someren</w:t>
      </w:r>
      <w:proofErr w:type="spellEnd"/>
      <w:r w:rsidRPr="00372911">
        <w:rPr>
          <w:rFonts w:cs="Arial"/>
          <w:sz w:val="20"/>
        </w:rPr>
        <w:t xml:space="preserve">, P. </w:t>
      </w:r>
      <w:proofErr w:type="spellStart"/>
      <w:r w:rsidRPr="00372911">
        <w:rPr>
          <w:rFonts w:cs="Arial"/>
          <w:sz w:val="20"/>
        </w:rPr>
        <w:t>Reimann</w:t>
      </w:r>
      <w:proofErr w:type="spellEnd"/>
      <w:r w:rsidRPr="00372911">
        <w:rPr>
          <w:rFonts w:cs="Arial"/>
          <w:sz w:val="20"/>
        </w:rPr>
        <w:t xml:space="preserve">, H.P.A. </w:t>
      </w:r>
      <w:proofErr w:type="spellStart"/>
      <w:r w:rsidRPr="00372911">
        <w:rPr>
          <w:rFonts w:cs="Arial"/>
          <w:sz w:val="20"/>
        </w:rPr>
        <w:t>Boshuizen</w:t>
      </w:r>
      <w:proofErr w:type="spellEnd"/>
      <w:r w:rsidRPr="00372911">
        <w:rPr>
          <w:rFonts w:cs="Arial"/>
          <w:sz w:val="20"/>
        </w:rPr>
        <w:t xml:space="preserve">, &amp; T. de Jong (Eds.), </w:t>
      </w:r>
      <w:proofErr w:type="gramStart"/>
      <w:r w:rsidRPr="00372911">
        <w:rPr>
          <w:rFonts w:cs="Arial"/>
          <w:i/>
          <w:sz w:val="20"/>
        </w:rPr>
        <w:t>Learning</w:t>
      </w:r>
      <w:proofErr w:type="gramEnd"/>
      <w:r w:rsidRPr="00372911">
        <w:rPr>
          <w:rFonts w:cs="Arial"/>
          <w:i/>
          <w:sz w:val="20"/>
        </w:rPr>
        <w:t xml:space="preserve"> with multiple representations</w:t>
      </w:r>
      <w:r w:rsidRPr="00372911">
        <w:rPr>
          <w:rFonts w:cs="Arial"/>
          <w:sz w:val="20"/>
        </w:rPr>
        <w:t xml:space="preserve"> (pp. 137-151). Amsterdam: </w:t>
      </w:r>
      <w:proofErr w:type="spellStart"/>
      <w:r w:rsidRPr="00372911">
        <w:rPr>
          <w:rFonts w:cs="Arial"/>
          <w:sz w:val="20"/>
        </w:rPr>
        <w:t>Pergamon</w:t>
      </w:r>
      <w:proofErr w:type="spellEnd"/>
    </w:p>
    <w:p w:rsidR="00372911" w:rsidRPr="00372911" w:rsidRDefault="00372911" w:rsidP="00372911">
      <w:pPr>
        <w:ind w:left="720" w:hanging="720"/>
        <w:rPr>
          <w:rFonts w:cs="Arial"/>
          <w:sz w:val="20"/>
        </w:rPr>
      </w:pPr>
      <w:proofErr w:type="gramStart"/>
      <w:r w:rsidRPr="00372911">
        <w:rPr>
          <w:rFonts w:cs="Arial"/>
          <w:sz w:val="20"/>
        </w:rPr>
        <w:t xml:space="preserve">Boyle, J. R., &amp; </w:t>
      </w:r>
      <w:proofErr w:type="spellStart"/>
      <w:r w:rsidRPr="00372911">
        <w:rPr>
          <w:rFonts w:cs="Arial"/>
          <w:sz w:val="20"/>
        </w:rPr>
        <w:t>Weishaar</w:t>
      </w:r>
      <w:proofErr w:type="spellEnd"/>
      <w:r w:rsidRPr="00372911">
        <w:rPr>
          <w:rFonts w:cs="Arial"/>
          <w:sz w:val="20"/>
        </w:rPr>
        <w:t>, M. (1997).</w:t>
      </w:r>
      <w:proofErr w:type="gramEnd"/>
      <w:r w:rsidRPr="00372911">
        <w:rPr>
          <w:rFonts w:cs="Arial"/>
          <w:sz w:val="20"/>
        </w:rPr>
        <w:t xml:space="preserve"> The effects of expert-generated versus student- generated cognitive organizers on the reading comprehension of students with learning disabilities. </w:t>
      </w:r>
      <w:r w:rsidRPr="00372911">
        <w:rPr>
          <w:rFonts w:cs="Arial"/>
          <w:i/>
          <w:sz w:val="20"/>
        </w:rPr>
        <w:t>Learning Disabilities Research &amp; Practice, 12</w:t>
      </w:r>
      <w:r w:rsidRPr="00372911">
        <w:rPr>
          <w:rFonts w:cs="Arial"/>
          <w:sz w:val="20"/>
        </w:rPr>
        <w:t>(4), 228-235.</w:t>
      </w:r>
    </w:p>
    <w:p w:rsidR="00372911" w:rsidRPr="00372911" w:rsidRDefault="00372911" w:rsidP="00372911">
      <w:pPr>
        <w:ind w:left="720" w:hanging="720"/>
        <w:rPr>
          <w:rFonts w:cs="Arial"/>
          <w:sz w:val="20"/>
        </w:rPr>
      </w:pPr>
      <w:proofErr w:type="spellStart"/>
      <w:r w:rsidRPr="00372911">
        <w:rPr>
          <w:rFonts w:cs="Arial"/>
          <w:sz w:val="20"/>
        </w:rPr>
        <w:t>Bredo</w:t>
      </w:r>
      <w:proofErr w:type="spellEnd"/>
      <w:r w:rsidRPr="00372911">
        <w:rPr>
          <w:rFonts w:cs="Arial"/>
          <w:sz w:val="20"/>
        </w:rPr>
        <w:t xml:space="preserve">, E. (2000).  </w:t>
      </w:r>
      <w:proofErr w:type="gramStart"/>
      <w:r w:rsidRPr="00372911">
        <w:rPr>
          <w:rFonts w:cs="Arial"/>
          <w:sz w:val="20"/>
        </w:rPr>
        <w:t>Reconsidering social constructivism: the relevance of George Herbert Mead’s interactionism.</w:t>
      </w:r>
      <w:proofErr w:type="gramEnd"/>
      <w:r w:rsidRPr="00372911">
        <w:rPr>
          <w:rFonts w:cs="Arial"/>
          <w:sz w:val="20"/>
        </w:rPr>
        <w:t xml:space="preserve">  In D. C. Phillips (Ed.), </w:t>
      </w:r>
      <w:r w:rsidRPr="00372911">
        <w:rPr>
          <w:rFonts w:cs="Arial"/>
          <w:i/>
          <w:sz w:val="20"/>
        </w:rPr>
        <w:t xml:space="preserve">Constructivism in education: opinions and second opinions on controversial </w:t>
      </w:r>
      <w:proofErr w:type="gramStart"/>
      <w:r w:rsidRPr="00372911">
        <w:rPr>
          <w:rFonts w:cs="Arial"/>
          <w:i/>
          <w:sz w:val="20"/>
        </w:rPr>
        <w:t>issues</w:t>
      </w:r>
      <w:r w:rsidRPr="00372911">
        <w:rPr>
          <w:rFonts w:cs="Arial"/>
          <w:sz w:val="20"/>
        </w:rPr>
        <w:t xml:space="preserve">  (</w:t>
      </w:r>
      <w:proofErr w:type="gramEnd"/>
      <w:r w:rsidRPr="00372911">
        <w:rPr>
          <w:rFonts w:cs="Arial"/>
          <w:sz w:val="20"/>
        </w:rPr>
        <w:t>pp. 127-157).  Chicago: University of Chicago Press.</w:t>
      </w:r>
    </w:p>
    <w:p w:rsidR="00372911" w:rsidRPr="00372911" w:rsidRDefault="00372911" w:rsidP="00372911">
      <w:pPr>
        <w:ind w:left="720" w:hanging="720"/>
        <w:rPr>
          <w:rFonts w:cs="Arial"/>
          <w:sz w:val="20"/>
        </w:rPr>
      </w:pPr>
      <w:proofErr w:type="spellStart"/>
      <w:proofErr w:type="gramStart"/>
      <w:r w:rsidRPr="00372911">
        <w:rPr>
          <w:rFonts w:cs="Arial"/>
          <w:sz w:val="20"/>
        </w:rPr>
        <w:t>Buzan</w:t>
      </w:r>
      <w:proofErr w:type="spellEnd"/>
      <w:r w:rsidRPr="00372911">
        <w:rPr>
          <w:rFonts w:cs="Arial"/>
          <w:sz w:val="20"/>
        </w:rPr>
        <w:t>, T. (1976).</w:t>
      </w:r>
      <w:proofErr w:type="gramEnd"/>
      <w:r w:rsidRPr="00372911">
        <w:rPr>
          <w:rFonts w:cs="Arial"/>
          <w:sz w:val="20"/>
        </w:rPr>
        <w:t xml:space="preserve"> </w:t>
      </w:r>
      <w:r w:rsidRPr="00372911">
        <w:rPr>
          <w:rFonts w:cs="Arial"/>
          <w:i/>
          <w:iCs/>
          <w:sz w:val="20"/>
        </w:rPr>
        <w:t>Use Both Sides of Your</w:t>
      </w:r>
      <w:r w:rsidRPr="00372911">
        <w:rPr>
          <w:rFonts w:cs="Arial"/>
          <w:sz w:val="20"/>
        </w:rPr>
        <w:t xml:space="preserve"> </w:t>
      </w:r>
      <w:r w:rsidRPr="00372911">
        <w:rPr>
          <w:rFonts w:cs="Arial"/>
          <w:i/>
          <w:iCs/>
          <w:sz w:val="20"/>
        </w:rPr>
        <w:t>Brain</w:t>
      </w:r>
      <w:r w:rsidRPr="00372911">
        <w:rPr>
          <w:rFonts w:cs="Arial"/>
          <w:sz w:val="20"/>
        </w:rPr>
        <w:t xml:space="preserve">. Dutton &amp; Co., New York. </w:t>
      </w:r>
    </w:p>
    <w:p w:rsidR="00372911" w:rsidRPr="00372911" w:rsidRDefault="00372911" w:rsidP="00372911">
      <w:pPr>
        <w:ind w:left="720" w:hanging="720"/>
        <w:rPr>
          <w:rFonts w:cs="Arial"/>
          <w:sz w:val="20"/>
        </w:rPr>
      </w:pPr>
      <w:proofErr w:type="spellStart"/>
      <w:proofErr w:type="gramStart"/>
      <w:r w:rsidRPr="00372911">
        <w:rPr>
          <w:rFonts w:cs="Arial"/>
          <w:sz w:val="20"/>
        </w:rPr>
        <w:t>Buzan</w:t>
      </w:r>
      <w:proofErr w:type="spellEnd"/>
      <w:r w:rsidRPr="00372911">
        <w:rPr>
          <w:rFonts w:cs="Arial"/>
          <w:sz w:val="20"/>
        </w:rPr>
        <w:t>, T. (1993).</w:t>
      </w:r>
      <w:proofErr w:type="gramEnd"/>
      <w:r w:rsidRPr="00372911">
        <w:rPr>
          <w:rFonts w:cs="Arial"/>
          <w:sz w:val="20"/>
        </w:rPr>
        <w:t xml:space="preserve"> </w:t>
      </w:r>
      <w:proofErr w:type="gramStart"/>
      <w:r w:rsidRPr="00372911">
        <w:rPr>
          <w:rFonts w:cs="Arial"/>
          <w:i/>
          <w:iCs/>
          <w:sz w:val="20"/>
        </w:rPr>
        <w:t>The Mind Map Book.</w:t>
      </w:r>
      <w:proofErr w:type="gramEnd"/>
      <w:r w:rsidRPr="00372911">
        <w:rPr>
          <w:rFonts w:cs="Arial"/>
          <w:sz w:val="20"/>
        </w:rPr>
        <w:t xml:space="preserve"> </w:t>
      </w:r>
      <w:proofErr w:type="gramStart"/>
      <w:r w:rsidRPr="00372911">
        <w:rPr>
          <w:rFonts w:cs="Arial"/>
          <w:sz w:val="20"/>
        </w:rPr>
        <w:t>London, BBC Books.</w:t>
      </w:r>
      <w:proofErr w:type="gramEnd"/>
    </w:p>
    <w:p w:rsidR="00372911" w:rsidRPr="00372911" w:rsidRDefault="00372911" w:rsidP="00372911">
      <w:pPr>
        <w:ind w:left="720" w:hanging="720"/>
        <w:rPr>
          <w:rFonts w:cs="Arial"/>
          <w:sz w:val="20"/>
        </w:rPr>
      </w:pPr>
      <w:r w:rsidRPr="00372911">
        <w:rPr>
          <w:rFonts w:cs="Arial"/>
          <w:sz w:val="20"/>
        </w:rPr>
        <w:t xml:space="preserve">Canfield, A. (1992). </w:t>
      </w:r>
      <w:r w:rsidRPr="00372911">
        <w:rPr>
          <w:rFonts w:cs="Arial"/>
          <w:i/>
          <w:sz w:val="20"/>
        </w:rPr>
        <w:t>Canfield learning styles inventory</w:t>
      </w:r>
      <w:r w:rsidRPr="00372911">
        <w:rPr>
          <w:rFonts w:cs="Arial"/>
          <w:sz w:val="20"/>
        </w:rPr>
        <w:t>. Los Angeles, CA: Western Psychological Services.</w:t>
      </w:r>
    </w:p>
    <w:p w:rsidR="00372911" w:rsidRPr="00372911" w:rsidRDefault="00372911" w:rsidP="00372911">
      <w:pPr>
        <w:ind w:left="720" w:hanging="720"/>
        <w:rPr>
          <w:rFonts w:cs="Arial"/>
          <w:bCs/>
          <w:sz w:val="20"/>
        </w:rPr>
      </w:pPr>
      <w:r w:rsidRPr="00372911">
        <w:rPr>
          <w:rFonts w:cs="Arial"/>
          <w:bCs/>
          <w:sz w:val="20"/>
        </w:rPr>
        <w:t xml:space="preserve">Cassidy, J. (1989). </w:t>
      </w:r>
      <w:proofErr w:type="gramStart"/>
      <w:r w:rsidRPr="00372911">
        <w:rPr>
          <w:rFonts w:cs="Arial"/>
          <w:bCs/>
          <w:sz w:val="20"/>
        </w:rPr>
        <w:t>Using graphic organizers to develop critical thinking.</w:t>
      </w:r>
      <w:proofErr w:type="gramEnd"/>
      <w:r w:rsidRPr="00372911">
        <w:rPr>
          <w:rFonts w:cs="Arial"/>
          <w:bCs/>
          <w:sz w:val="20"/>
        </w:rPr>
        <w:t xml:space="preserve"> </w:t>
      </w:r>
      <w:r w:rsidRPr="00372911">
        <w:rPr>
          <w:rFonts w:cs="Arial"/>
          <w:bCs/>
          <w:i/>
          <w:sz w:val="20"/>
        </w:rPr>
        <w:t>The Gifted Child Today, 12</w:t>
      </w:r>
      <w:r w:rsidRPr="00372911">
        <w:rPr>
          <w:rFonts w:cs="Arial"/>
          <w:bCs/>
          <w:sz w:val="20"/>
        </w:rPr>
        <w:t>(6), 34-36</w:t>
      </w:r>
      <w:r w:rsidR="00AC7A0C">
        <w:rPr>
          <w:rFonts w:cs="Arial"/>
          <w:bCs/>
          <w:sz w:val="20"/>
        </w:rPr>
        <w:t>.</w:t>
      </w:r>
    </w:p>
    <w:p w:rsidR="00372911" w:rsidRPr="00372911" w:rsidRDefault="00372911" w:rsidP="00372911">
      <w:pPr>
        <w:ind w:left="720" w:hanging="720"/>
        <w:rPr>
          <w:rFonts w:cs="Arial"/>
          <w:sz w:val="20"/>
        </w:rPr>
      </w:pPr>
      <w:r w:rsidRPr="00372911">
        <w:rPr>
          <w:rFonts w:cs="Arial"/>
          <w:sz w:val="20"/>
        </w:rPr>
        <w:t xml:space="preserve">Chen, C. (2002). </w:t>
      </w:r>
      <w:proofErr w:type="gramStart"/>
      <w:r w:rsidRPr="00372911">
        <w:rPr>
          <w:rFonts w:cs="Arial"/>
          <w:sz w:val="20"/>
        </w:rPr>
        <w:t>Visualization of Knowledge Structures.</w:t>
      </w:r>
      <w:proofErr w:type="gramEnd"/>
      <w:r w:rsidRPr="00372911">
        <w:rPr>
          <w:rFonts w:cs="Arial"/>
          <w:sz w:val="20"/>
        </w:rPr>
        <w:t xml:space="preserve"> </w:t>
      </w:r>
      <w:proofErr w:type="gramStart"/>
      <w:r w:rsidRPr="00372911">
        <w:rPr>
          <w:rFonts w:cs="Arial"/>
          <w:sz w:val="20"/>
        </w:rPr>
        <w:t xml:space="preserve">In S.K. Chang (Ed.), </w:t>
      </w:r>
      <w:r w:rsidRPr="00372911">
        <w:rPr>
          <w:rFonts w:cs="Arial"/>
          <w:i/>
          <w:sz w:val="20"/>
        </w:rPr>
        <w:t>Handbook of Software Engineering and Knowledge Engineering, Vol. II.</w:t>
      </w:r>
      <w:proofErr w:type="gramEnd"/>
      <w:r w:rsidRPr="00372911">
        <w:rPr>
          <w:rFonts w:cs="Arial"/>
          <w:i/>
          <w:sz w:val="20"/>
        </w:rPr>
        <w:t xml:space="preserve"> </w:t>
      </w:r>
      <w:proofErr w:type="gramStart"/>
      <w:r w:rsidRPr="00372911">
        <w:rPr>
          <w:rFonts w:cs="Arial"/>
          <w:i/>
          <w:sz w:val="20"/>
        </w:rPr>
        <w:t>Emerging Technologies</w:t>
      </w:r>
      <w:r w:rsidRPr="00372911">
        <w:rPr>
          <w:rFonts w:cs="Arial"/>
          <w:sz w:val="20"/>
        </w:rPr>
        <w:t xml:space="preserve"> (pp. 201-238).</w:t>
      </w:r>
      <w:proofErr w:type="gramEnd"/>
      <w:r w:rsidRPr="00372911">
        <w:rPr>
          <w:rFonts w:cs="Arial"/>
          <w:sz w:val="20"/>
        </w:rPr>
        <w:t xml:space="preserve"> New Jersey: World Scientific Pub. </w:t>
      </w:r>
      <w:proofErr w:type="gramStart"/>
      <w:r w:rsidRPr="00372911">
        <w:rPr>
          <w:rFonts w:cs="Arial"/>
          <w:sz w:val="20"/>
        </w:rPr>
        <w:t>Co.</w:t>
      </w:r>
      <w:proofErr w:type="gramEnd"/>
    </w:p>
    <w:p w:rsidR="00372911" w:rsidRPr="00372911" w:rsidRDefault="00372911" w:rsidP="00372911">
      <w:pPr>
        <w:ind w:left="720" w:hanging="720"/>
        <w:rPr>
          <w:rFonts w:cs="Arial"/>
          <w:sz w:val="20"/>
        </w:rPr>
      </w:pPr>
      <w:proofErr w:type="gramStart"/>
      <w:r w:rsidRPr="00372911">
        <w:rPr>
          <w:rFonts w:cs="Arial"/>
          <w:sz w:val="20"/>
        </w:rPr>
        <w:t xml:space="preserve">Chen, C. &amp; </w:t>
      </w:r>
      <w:proofErr w:type="spellStart"/>
      <w:r w:rsidRPr="00372911">
        <w:rPr>
          <w:rFonts w:cs="Arial"/>
          <w:sz w:val="20"/>
        </w:rPr>
        <w:t>Rada</w:t>
      </w:r>
      <w:proofErr w:type="spellEnd"/>
      <w:r w:rsidRPr="00372911">
        <w:rPr>
          <w:rFonts w:cs="Arial"/>
          <w:sz w:val="20"/>
        </w:rPr>
        <w:t>, R. (1996).</w:t>
      </w:r>
      <w:proofErr w:type="gramEnd"/>
      <w:r w:rsidRPr="00372911">
        <w:rPr>
          <w:rFonts w:cs="Arial"/>
          <w:sz w:val="20"/>
        </w:rPr>
        <w:t xml:space="preserve">  </w:t>
      </w:r>
      <w:proofErr w:type="gramStart"/>
      <w:r w:rsidRPr="00372911">
        <w:rPr>
          <w:rFonts w:cs="Arial"/>
          <w:sz w:val="20"/>
        </w:rPr>
        <w:t>Interacting with hypertext: A meta-analysis of experimental studies.</w:t>
      </w:r>
      <w:proofErr w:type="gramEnd"/>
      <w:r w:rsidRPr="00372911">
        <w:rPr>
          <w:rFonts w:cs="Arial"/>
          <w:sz w:val="20"/>
        </w:rPr>
        <w:t xml:space="preserve">  </w:t>
      </w:r>
      <w:r w:rsidRPr="00372911">
        <w:rPr>
          <w:rFonts w:cs="Arial"/>
          <w:i/>
          <w:sz w:val="20"/>
        </w:rPr>
        <w:t>Human Computer Interaction, 11</w:t>
      </w:r>
      <w:r w:rsidRPr="00372911">
        <w:rPr>
          <w:rFonts w:cs="Arial"/>
          <w:sz w:val="20"/>
        </w:rPr>
        <w:t>, 125-156.</w:t>
      </w:r>
    </w:p>
    <w:p w:rsidR="00372911" w:rsidRPr="00372911" w:rsidRDefault="00372911" w:rsidP="00372911">
      <w:pPr>
        <w:ind w:left="720" w:hanging="720"/>
        <w:rPr>
          <w:rFonts w:cs="Arial"/>
          <w:sz w:val="20"/>
        </w:rPr>
      </w:pPr>
      <w:proofErr w:type="gramStart"/>
      <w:r w:rsidRPr="00372911">
        <w:rPr>
          <w:rFonts w:cs="Arial"/>
          <w:sz w:val="20"/>
        </w:rPr>
        <w:t>Chen, W. F., &amp; Dwyer, F. (2003).</w:t>
      </w:r>
      <w:proofErr w:type="gramEnd"/>
      <w:r w:rsidRPr="00372911">
        <w:rPr>
          <w:rFonts w:cs="Arial"/>
          <w:sz w:val="20"/>
        </w:rPr>
        <w:t xml:space="preserve">  Hypermedia research: present and future.  </w:t>
      </w:r>
      <w:r w:rsidRPr="00372911">
        <w:rPr>
          <w:rFonts w:cs="Arial"/>
          <w:i/>
          <w:sz w:val="20"/>
        </w:rPr>
        <w:t>International Journal of Instructional Media, 30</w:t>
      </w:r>
      <w:r w:rsidRPr="00372911">
        <w:rPr>
          <w:rFonts w:cs="Arial"/>
          <w:sz w:val="20"/>
        </w:rPr>
        <w:t>(2), 143-148.</w:t>
      </w:r>
    </w:p>
    <w:p w:rsidR="00372911" w:rsidRPr="00372911" w:rsidRDefault="00372911" w:rsidP="00372911">
      <w:pPr>
        <w:ind w:left="720" w:hanging="720"/>
        <w:rPr>
          <w:rFonts w:cs="Arial"/>
          <w:sz w:val="20"/>
        </w:rPr>
      </w:pPr>
      <w:proofErr w:type="gramStart"/>
      <w:r w:rsidRPr="00372911">
        <w:rPr>
          <w:rFonts w:cs="Arial"/>
          <w:sz w:val="20"/>
        </w:rPr>
        <w:t>Choi, I., Lee, S., &amp; Jung, J. W. (2008).</w:t>
      </w:r>
      <w:proofErr w:type="gramEnd"/>
      <w:r w:rsidRPr="00372911">
        <w:rPr>
          <w:rFonts w:cs="Arial"/>
          <w:sz w:val="20"/>
        </w:rPr>
        <w:t xml:space="preserve">  </w:t>
      </w:r>
      <w:proofErr w:type="gramStart"/>
      <w:r w:rsidRPr="00372911">
        <w:rPr>
          <w:rFonts w:cs="Arial"/>
          <w:sz w:val="20"/>
        </w:rPr>
        <w:t>Designing multimedia case-based instruction accommodating students’ diverse learning styles.</w:t>
      </w:r>
      <w:proofErr w:type="gramEnd"/>
      <w:r w:rsidRPr="00372911">
        <w:rPr>
          <w:rFonts w:cs="Arial"/>
          <w:sz w:val="20"/>
        </w:rPr>
        <w:t xml:space="preserve"> </w:t>
      </w:r>
      <w:r w:rsidRPr="00372911">
        <w:rPr>
          <w:rFonts w:cs="Arial"/>
          <w:i/>
          <w:sz w:val="20"/>
        </w:rPr>
        <w:t>Journal of Educational Multimedia and Hypermedia, 17</w:t>
      </w:r>
      <w:r w:rsidRPr="00372911">
        <w:rPr>
          <w:rFonts w:cs="Arial"/>
          <w:sz w:val="20"/>
        </w:rPr>
        <w:t>(1), 5-25</w:t>
      </w:r>
    </w:p>
    <w:p w:rsidR="00372911" w:rsidRPr="00372911" w:rsidRDefault="00372911" w:rsidP="00372911">
      <w:pPr>
        <w:ind w:left="720" w:hanging="720"/>
        <w:rPr>
          <w:rFonts w:ascii="Times New Roman" w:hAnsi="Times New Roman"/>
          <w:sz w:val="20"/>
        </w:rPr>
      </w:pPr>
      <w:proofErr w:type="spellStart"/>
      <w:r w:rsidRPr="00372911">
        <w:rPr>
          <w:rFonts w:cs="Arial"/>
          <w:sz w:val="20"/>
        </w:rPr>
        <w:t>Cicognami</w:t>
      </w:r>
      <w:proofErr w:type="spellEnd"/>
      <w:r w:rsidRPr="00372911">
        <w:rPr>
          <w:rFonts w:cs="Arial"/>
          <w:sz w:val="20"/>
        </w:rPr>
        <w:t xml:space="preserve">, A. “Concept Mapping as a Collaborative Tool for Enhanced Online Learning.” </w:t>
      </w:r>
      <w:proofErr w:type="gramStart"/>
      <w:r w:rsidRPr="00372911">
        <w:rPr>
          <w:rFonts w:cs="Arial"/>
          <w:i/>
          <w:sz w:val="20"/>
        </w:rPr>
        <w:t>Educational Technology and Society 3</w:t>
      </w:r>
      <w:r w:rsidRPr="00372911">
        <w:rPr>
          <w:rFonts w:cs="Arial"/>
          <w:sz w:val="20"/>
        </w:rPr>
        <w:t>(3) 2000.</w:t>
      </w:r>
      <w:proofErr w:type="gramEnd"/>
      <w:r w:rsidRPr="00372911">
        <w:rPr>
          <w:rFonts w:cs="Arial"/>
          <w:sz w:val="20"/>
        </w:rPr>
        <w:t xml:space="preserve"> </w:t>
      </w:r>
      <w:proofErr w:type="gramStart"/>
      <w:r w:rsidRPr="00372911">
        <w:rPr>
          <w:rFonts w:cs="Arial"/>
          <w:sz w:val="20"/>
        </w:rPr>
        <w:t xml:space="preserve">Retrieved January 10, 2012, from </w:t>
      </w:r>
      <w:hyperlink r:id="rId15" w:history="1">
        <w:r w:rsidRPr="00372911">
          <w:rPr>
            <w:rStyle w:val="Hyperlink"/>
            <w:rFonts w:ascii="Times New Roman" w:hAnsi="Times New Roman"/>
            <w:sz w:val="20"/>
          </w:rPr>
          <w:t>http://www.ifets.info/journals/3_3/b01.pdf</w:t>
        </w:r>
      </w:hyperlink>
      <w:r w:rsidRPr="00372911">
        <w:rPr>
          <w:rFonts w:ascii="Times New Roman" w:hAnsi="Times New Roman"/>
          <w:sz w:val="20"/>
        </w:rPr>
        <w:t>.</w:t>
      </w:r>
      <w:proofErr w:type="gramEnd"/>
    </w:p>
    <w:p w:rsidR="00372911" w:rsidRPr="00372911" w:rsidRDefault="00372911" w:rsidP="00372911">
      <w:pPr>
        <w:ind w:left="720" w:hanging="720"/>
        <w:rPr>
          <w:rFonts w:cs="Arial"/>
          <w:sz w:val="20"/>
        </w:rPr>
      </w:pPr>
      <w:r w:rsidRPr="00372911">
        <w:rPr>
          <w:rFonts w:cs="Arial"/>
          <w:sz w:val="20"/>
        </w:rPr>
        <w:t xml:space="preserve">Cooper-Shaw, C. (1991).  </w:t>
      </w:r>
      <w:r w:rsidRPr="00372911">
        <w:rPr>
          <w:rFonts w:cs="Arial"/>
          <w:i/>
          <w:sz w:val="20"/>
        </w:rPr>
        <w:t>Schema construction: A visual tool for the organization of knowledge</w:t>
      </w:r>
      <w:r w:rsidRPr="00372911">
        <w:rPr>
          <w:rFonts w:cs="Arial"/>
          <w:sz w:val="20"/>
        </w:rPr>
        <w:t xml:space="preserve"> </w:t>
      </w:r>
      <w:r w:rsidRPr="00372911">
        <w:rPr>
          <w:rFonts w:cs="Arial"/>
          <w:bCs/>
          <w:sz w:val="20"/>
        </w:rPr>
        <w:t xml:space="preserve">(ERIC Document Reproduction Service No. </w:t>
      </w:r>
      <w:r w:rsidRPr="00372911">
        <w:rPr>
          <w:rFonts w:cs="Arial"/>
          <w:sz w:val="20"/>
        </w:rPr>
        <w:t>352 051).</w:t>
      </w:r>
    </w:p>
    <w:p w:rsidR="00372911" w:rsidRPr="00372911" w:rsidRDefault="00372911" w:rsidP="00372911">
      <w:pPr>
        <w:ind w:left="720" w:hanging="720"/>
        <w:rPr>
          <w:rFonts w:cs="Arial"/>
          <w:sz w:val="20"/>
        </w:rPr>
      </w:pPr>
      <w:proofErr w:type="spellStart"/>
      <w:r w:rsidRPr="00372911">
        <w:rPr>
          <w:rFonts w:cs="Arial"/>
          <w:sz w:val="20"/>
        </w:rPr>
        <w:t>DeJong</w:t>
      </w:r>
      <w:proofErr w:type="spellEnd"/>
      <w:r w:rsidRPr="00372911">
        <w:rPr>
          <w:rFonts w:cs="Arial"/>
          <w:sz w:val="20"/>
        </w:rPr>
        <w:t xml:space="preserve">, T., Ainsworth, S., Dobson, M., van der </w:t>
      </w:r>
      <w:proofErr w:type="spellStart"/>
      <w:r w:rsidRPr="00372911">
        <w:rPr>
          <w:rFonts w:cs="Arial"/>
          <w:sz w:val="20"/>
        </w:rPr>
        <w:t>Hulst</w:t>
      </w:r>
      <w:proofErr w:type="spellEnd"/>
      <w:r w:rsidRPr="00372911">
        <w:rPr>
          <w:rFonts w:cs="Arial"/>
          <w:sz w:val="20"/>
        </w:rPr>
        <w:t xml:space="preserve">, A., </w:t>
      </w:r>
      <w:proofErr w:type="spellStart"/>
      <w:r w:rsidRPr="00372911">
        <w:rPr>
          <w:rFonts w:cs="Arial"/>
          <w:sz w:val="20"/>
        </w:rPr>
        <w:t>Levonen</w:t>
      </w:r>
      <w:proofErr w:type="spellEnd"/>
      <w:r w:rsidRPr="00372911">
        <w:rPr>
          <w:rFonts w:cs="Arial"/>
          <w:sz w:val="20"/>
        </w:rPr>
        <w:t xml:space="preserve">, J., </w:t>
      </w:r>
      <w:proofErr w:type="spellStart"/>
      <w:r w:rsidRPr="00372911">
        <w:rPr>
          <w:rFonts w:cs="Arial"/>
          <w:sz w:val="20"/>
        </w:rPr>
        <w:t>Reimann</w:t>
      </w:r>
      <w:proofErr w:type="spellEnd"/>
      <w:r w:rsidRPr="00372911">
        <w:rPr>
          <w:rFonts w:cs="Arial"/>
          <w:sz w:val="20"/>
        </w:rPr>
        <w:t xml:space="preserve">, P., </w:t>
      </w:r>
      <w:proofErr w:type="spellStart"/>
      <w:r w:rsidRPr="00372911">
        <w:rPr>
          <w:rFonts w:cs="Arial"/>
          <w:sz w:val="20"/>
        </w:rPr>
        <w:t>Sime</w:t>
      </w:r>
      <w:proofErr w:type="spellEnd"/>
      <w:r w:rsidRPr="00372911">
        <w:rPr>
          <w:rFonts w:cs="Arial"/>
          <w:sz w:val="20"/>
        </w:rPr>
        <w:t xml:space="preserve">, J., van </w:t>
      </w:r>
      <w:proofErr w:type="spellStart"/>
      <w:r w:rsidRPr="00372911">
        <w:rPr>
          <w:rFonts w:cs="Arial"/>
          <w:sz w:val="20"/>
        </w:rPr>
        <w:t>Someren</w:t>
      </w:r>
      <w:proofErr w:type="spellEnd"/>
      <w:r w:rsidRPr="00372911">
        <w:rPr>
          <w:rFonts w:cs="Arial"/>
          <w:sz w:val="20"/>
        </w:rPr>
        <w:t xml:space="preserve">, M., </w:t>
      </w:r>
      <w:proofErr w:type="spellStart"/>
      <w:r w:rsidRPr="00372911">
        <w:rPr>
          <w:rFonts w:cs="Arial"/>
          <w:sz w:val="20"/>
        </w:rPr>
        <w:t>Spada</w:t>
      </w:r>
      <w:proofErr w:type="spellEnd"/>
      <w:r w:rsidRPr="00372911">
        <w:rPr>
          <w:rFonts w:cs="Arial"/>
          <w:sz w:val="20"/>
        </w:rPr>
        <w:t xml:space="preserve">, H., &amp; </w:t>
      </w:r>
      <w:proofErr w:type="spellStart"/>
      <w:r w:rsidRPr="00372911">
        <w:rPr>
          <w:rFonts w:cs="Arial"/>
          <w:sz w:val="20"/>
        </w:rPr>
        <w:t>Swaak</w:t>
      </w:r>
      <w:proofErr w:type="spellEnd"/>
      <w:r w:rsidRPr="00372911">
        <w:rPr>
          <w:rFonts w:cs="Arial"/>
          <w:sz w:val="20"/>
        </w:rPr>
        <w:t xml:space="preserve">, J. (1998). Acquiring knowledge in science and math: The use of multiple representations in technology based learning environments. In H. </w:t>
      </w:r>
      <w:proofErr w:type="spellStart"/>
      <w:r w:rsidRPr="00372911">
        <w:rPr>
          <w:rFonts w:cs="Arial"/>
          <w:sz w:val="20"/>
        </w:rPr>
        <w:t>Spada</w:t>
      </w:r>
      <w:proofErr w:type="spellEnd"/>
      <w:r w:rsidRPr="00372911">
        <w:rPr>
          <w:rFonts w:cs="Arial"/>
          <w:sz w:val="20"/>
        </w:rPr>
        <w:t xml:space="preserve">, P. </w:t>
      </w:r>
      <w:proofErr w:type="spellStart"/>
      <w:r w:rsidRPr="00372911">
        <w:rPr>
          <w:rFonts w:cs="Arial"/>
          <w:sz w:val="20"/>
        </w:rPr>
        <w:t>Reimann</w:t>
      </w:r>
      <w:proofErr w:type="spellEnd"/>
      <w:r w:rsidRPr="00372911">
        <w:rPr>
          <w:rFonts w:cs="Arial"/>
          <w:sz w:val="20"/>
        </w:rPr>
        <w:t xml:space="preserve">, H.P.A. </w:t>
      </w:r>
      <w:proofErr w:type="spellStart"/>
      <w:r w:rsidRPr="00372911">
        <w:rPr>
          <w:rFonts w:cs="Arial"/>
          <w:sz w:val="20"/>
        </w:rPr>
        <w:t>Bozhimen</w:t>
      </w:r>
      <w:proofErr w:type="spellEnd"/>
      <w:r w:rsidRPr="00372911">
        <w:rPr>
          <w:rFonts w:cs="Arial"/>
          <w:sz w:val="20"/>
        </w:rPr>
        <w:t xml:space="preserve">, &amp; T. </w:t>
      </w:r>
      <w:proofErr w:type="spellStart"/>
      <w:r w:rsidRPr="00372911">
        <w:rPr>
          <w:rFonts w:cs="Arial"/>
          <w:sz w:val="20"/>
        </w:rPr>
        <w:t>DeJong</w:t>
      </w:r>
      <w:proofErr w:type="spellEnd"/>
      <w:r w:rsidRPr="00372911">
        <w:rPr>
          <w:rFonts w:cs="Arial"/>
          <w:sz w:val="20"/>
        </w:rPr>
        <w:t xml:space="preserve"> (Eds.), </w:t>
      </w:r>
      <w:proofErr w:type="gramStart"/>
      <w:r w:rsidRPr="00372911">
        <w:rPr>
          <w:rFonts w:cs="Arial"/>
          <w:i/>
          <w:sz w:val="20"/>
        </w:rPr>
        <w:t>Learning</w:t>
      </w:r>
      <w:proofErr w:type="gramEnd"/>
      <w:r w:rsidRPr="00372911">
        <w:rPr>
          <w:rFonts w:cs="Arial"/>
          <w:i/>
          <w:sz w:val="20"/>
        </w:rPr>
        <w:t xml:space="preserve"> with multiple representations</w:t>
      </w:r>
      <w:r w:rsidRPr="00372911">
        <w:rPr>
          <w:rFonts w:cs="Arial"/>
          <w:sz w:val="20"/>
        </w:rPr>
        <w:t xml:space="preserve"> (pp.9- 40). Amsterdam: Elsevier Science.</w:t>
      </w:r>
    </w:p>
    <w:p w:rsidR="00372911" w:rsidRPr="00372911" w:rsidRDefault="00372911" w:rsidP="00372911">
      <w:pPr>
        <w:ind w:left="720" w:hanging="720"/>
        <w:rPr>
          <w:rFonts w:cs="Arial"/>
          <w:sz w:val="20"/>
        </w:rPr>
      </w:pPr>
      <w:proofErr w:type="gramStart"/>
      <w:r w:rsidRPr="00372911">
        <w:rPr>
          <w:rFonts w:cs="Arial"/>
          <w:sz w:val="20"/>
        </w:rPr>
        <w:t xml:space="preserve">Dillon, A. &amp; </w:t>
      </w:r>
      <w:proofErr w:type="spellStart"/>
      <w:r w:rsidRPr="00372911">
        <w:rPr>
          <w:rFonts w:cs="Arial"/>
          <w:sz w:val="20"/>
        </w:rPr>
        <w:t>Gabbard</w:t>
      </w:r>
      <w:proofErr w:type="spellEnd"/>
      <w:r w:rsidRPr="00372911">
        <w:rPr>
          <w:rFonts w:cs="Arial"/>
          <w:sz w:val="20"/>
        </w:rPr>
        <w:t>, R. (1998).</w:t>
      </w:r>
      <w:proofErr w:type="gramEnd"/>
      <w:r w:rsidRPr="00372911">
        <w:rPr>
          <w:rFonts w:cs="Arial"/>
          <w:sz w:val="20"/>
        </w:rPr>
        <w:t xml:space="preserve">  Hypermedia as an educational technology: A review of the quantitative research literature on learner comprehension, control, and style.  </w:t>
      </w:r>
      <w:r w:rsidRPr="00372911">
        <w:rPr>
          <w:rFonts w:cs="Arial"/>
          <w:i/>
          <w:sz w:val="20"/>
        </w:rPr>
        <w:t>Review of Educational Research, 68</w:t>
      </w:r>
      <w:r w:rsidRPr="00372911">
        <w:rPr>
          <w:rFonts w:cs="Arial"/>
          <w:sz w:val="20"/>
        </w:rPr>
        <w:t>(3), 322-349.</w:t>
      </w:r>
    </w:p>
    <w:p w:rsidR="00372911" w:rsidRPr="00372911" w:rsidRDefault="00372911" w:rsidP="00372911">
      <w:pPr>
        <w:ind w:left="720" w:hanging="720"/>
        <w:rPr>
          <w:rFonts w:cs="Arial"/>
          <w:sz w:val="20"/>
        </w:rPr>
      </w:pPr>
      <w:proofErr w:type="gramStart"/>
      <w:r w:rsidRPr="00372911">
        <w:rPr>
          <w:rFonts w:cs="Arial"/>
          <w:sz w:val="20"/>
        </w:rPr>
        <w:t>Dillon, R. F., and Sternberg, R. J. (1986).</w:t>
      </w:r>
      <w:proofErr w:type="gramEnd"/>
      <w:r w:rsidRPr="00372911">
        <w:rPr>
          <w:rFonts w:cs="Arial"/>
          <w:sz w:val="20"/>
        </w:rPr>
        <w:t xml:space="preserve">  </w:t>
      </w:r>
      <w:proofErr w:type="gramStart"/>
      <w:r w:rsidRPr="00372911">
        <w:rPr>
          <w:rFonts w:cs="Arial"/>
          <w:i/>
          <w:sz w:val="20"/>
        </w:rPr>
        <w:t>Cognition and Instruction</w:t>
      </w:r>
      <w:r w:rsidRPr="00372911">
        <w:rPr>
          <w:rFonts w:cs="Arial"/>
          <w:sz w:val="20"/>
        </w:rPr>
        <w:t>, Academic Press, New York.</w:t>
      </w:r>
      <w:proofErr w:type="gramEnd"/>
    </w:p>
    <w:p w:rsidR="00372911" w:rsidRPr="00372911" w:rsidRDefault="00372911" w:rsidP="00372911">
      <w:pPr>
        <w:ind w:left="720" w:hanging="720"/>
        <w:rPr>
          <w:rFonts w:cs="Arial"/>
          <w:sz w:val="20"/>
        </w:rPr>
      </w:pPr>
      <w:proofErr w:type="spellStart"/>
      <w:proofErr w:type="gramStart"/>
      <w:r w:rsidRPr="00372911">
        <w:rPr>
          <w:rFonts w:cs="Arial"/>
          <w:sz w:val="20"/>
        </w:rPr>
        <w:t>diSibio</w:t>
      </w:r>
      <w:proofErr w:type="spellEnd"/>
      <w:proofErr w:type="gramEnd"/>
      <w:r w:rsidRPr="00372911">
        <w:rPr>
          <w:rFonts w:cs="Arial"/>
          <w:sz w:val="20"/>
        </w:rPr>
        <w:t xml:space="preserve">, M. (1982).  Memory for connected discourse: A constructivist view.  </w:t>
      </w:r>
      <w:r w:rsidRPr="00372911">
        <w:rPr>
          <w:rFonts w:cs="Arial"/>
          <w:i/>
          <w:sz w:val="20"/>
        </w:rPr>
        <w:t>Review of Educational Research, 52</w:t>
      </w:r>
      <w:r w:rsidRPr="00372911">
        <w:rPr>
          <w:rFonts w:cs="Arial"/>
          <w:sz w:val="20"/>
        </w:rPr>
        <w:t xml:space="preserve">, 149-174.  </w:t>
      </w:r>
    </w:p>
    <w:p w:rsidR="00372911" w:rsidRPr="00372911" w:rsidRDefault="00372911" w:rsidP="00372911">
      <w:pPr>
        <w:ind w:left="720" w:hanging="720"/>
        <w:rPr>
          <w:rFonts w:cs="Arial"/>
          <w:sz w:val="20"/>
        </w:rPr>
      </w:pPr>
      <w:r w:rsidRPr="00372911">
        <w:rPr>
          <w:rFonts w:cs="Arial"/>
          <w:sz w:val="20"/>
        </w:rPr>
        <w:t xml:space="preserve">Duffy, T.M. and Knuth, R. (1990) Hypermedia and instruction: Where is the match? </w:t>
      </w:r>
      <w:proofErr w:type="gramStart"/>
      <w:r w:rsidRPr="00372911">
        <w:rPr>
          <w:rFonts w:cs="Arial"/>
          <w:sz w:val="20"/>
        </w:rPr>
        <w:t xml:space="preserve">In D. </w:t>
      </w:r>
      <w:proofErr w:type="spellStart"/>
      <w:r w:rsidRPr="00372911">
        <w:rPr>
          <w:rFonts w:cs="Arial"/>
          <w:sz w:val="20"/>
        </w:rPr>
        <w:t>Jonassen</w:t>
      </w:r>
      <w:proofErr w:type="spellEnd"/>
      <w:r w:rsidRPr="00372911">
        <w:rPr>
          <w:rFonts w:cs="Arial"/>
          <w:sz w:val="20"/>
        </w:rPr>
        <w:t xml:space="preserve"> and H. </w:t>
      </w:r>
      <w:proofErr w:type="spellStart"/>
      <w:r w:rsidRPr="00372911">
        <w:rPr>
          <w:rFonts w:cs="Arial"/>
          <w:sz w:val="20"/>
        </w:rPr>
        <w:t>Mandl</w:t>
      </w:r>
      <w:proofErr w:type="spellEnd"/>
      <w:r w:rsidRPr="00372911">
        <w:rPr>
          <w:rFonts w:cs="Arial"/>
          <w:sz w:val="20"/>
        </w:rPr>
        <w:t xml:space="preserve"> (eds.) </w:t>
      </w:r>
      <w:r w:rsidRPr="00372911">
        <w:rPr>
          <w:rFonts w:cs="Arial"/>
          <w:i/>
          <w:sz w:val="20"/>
        </w:rPr>
        <w:t>Designing Hypermedia for Learning</w:t>
      </w:r>
      <w:r w:rsidRPr="00372911">
        <w:rPr>
          <w:rFonts w:cs="Arial"/>
          <w:sz w:val="20"/>
        </w:rPr>
        <w:t xml:space="preserve"> (Vol. F67).</w:t>
      </w:r>
      <w:proofErr w:type="gramEnd"/>
      <w:r w:rsidRPr="00372911">
        <w:rPr>
          <w:rFonts w:cs="Arial"/>
          <w:sz w:val="20"/>
        </w:rPr>
        <w:t xml:space="preserve"> Berlin: Springer-</w:t>
      </w:r>
      <w:proofErr w:type="spellStart"/>
      <w:r w:rsidRPr="00372911">
        <w:rPr>
          <w:rFonts w:cs="Arial"/>
          <w:sz w:val="20"/>
        </w:rPr>
        <w:t>Verlag</w:t>
      </w:r>
      <w:proofErr w:type="spellEnd"/>
      <w:r w:rsidRPr="00372911">
        <w:rPr>
          <w:rFonts w:cs="Arial"/>
          <w:sz w:val="20"/>
        </w:rPr>
        <w:t>.</w:t>
      </w:r>
    </w:p>
    <w:p w:rsidR="00372911" w:rsidRPr="00372911" w:rsidRDefault="00372911" w:rsidP="00372911">
      <w:pPr>
        <w:ind w:left="720" w:hanging="720"/>
        <w:rPr>
          <w:rFonts w:cs="Arial"/>
          <w:sz w:val="20"/>
        </w:rPr>
      </w:pPr>
      <w:proofErr w:type="spellStart"/>
      <w:proofErr w:type="gramStart"/>
      <w:r w:rsidRPr="00372911">
        <w:rPr>
          <w:rFonts w:cs="Arial"/>
          <w:sz w:val="20"/>
        </w:rPr>
        <w:t>Eilon</w:t>
      </w:r>
      <w:proofErr w:type="spellEnd"/>
      <w:r w:rsidRPr="00372911">
        <w:rPr>
          <w:rFonts w:cs="Arial"/>
          <w:sz w:val="20"/>
        </w:rPr>
        <w:t xml:space="preserve">, B. and </w:t>
      </w:r>
      <w:proofErr w:type="spellStart"/>
      <w:r w:rsidRPr="00372911">
        <w:rPr>
          <w:rFonts w:cs="Arial"/>
          <w:sz w:val="20"/>
        </w:rPr>
        <w:t>Reif</w:t>
      </w:r>
      <w:proofErr w:type="spellEnd"/>
      <w:r w:rsidRPr="00372911">
        <w:rPr>
          <w:rFonts w:cs="Arial"/>
          <w:sz w:val="20"/>
        </w:rPr>
        <w:t>, R. (1984).</w:t>
      </w:r>
      <w:proofErr w:type="gramEnd"/>
      <w:r w:rsidRPr="00372911">
        <w:rPr>
          <w:rFonts w:cs="Arial"/>
          <w:sz w:val="20"/>
        </w:rPr>
        <w:t xml:space="preserve"> </w:t>
      </w:r>
      <w:proofErr w:type="gramStart"/>
      <w:r w:rsidRPr="00372911">
        <w:rPr>
          <w:rFonts w:cs="Arial"/>
          <w:sz w:val="20"/>
        </w:rPr>
        <w:t>Effects of knowledge organization on task performance.</w:t>
      </w:r>
      <w:proofErr w:type="gramEnd"/>
      <w:r w:rsidRPr="00372911">
        <w:rPr>
          <w:rFonts w:cs="Arial"/>
          <w:sz w:val="20"/>
        </w:rPr>
        <w:t xml:space="preserve"> </w:t>
      </w:r>
      <w:proofErr w:type="gramStart"/>
      <w:r w:rsidRPr="00372911">
        <w:rPr>
          <w:rFonts w:cs="Arial"/>
          <w:sz w:val="20"/>
        </w:rPr>
        <w:t>Cognition and instruction.</w:t>
      </w:r>
      <w:proofErr w:type="gramEnd"/>
      <w:r w:rsidRPr="00372911">
        <w:rPr>
          <w:rFonts w:cs="Arial"/>
          <w:sz w:val="20"/>
        </w:rPr>
        <w:t xml:space="preserve"> </w:t>
      </w:r>
      <w:r w:rsidRPr="00372911">
        <w:rPr>
          <w:rFonts w:cs="Arial"/>
          <w:i/>
          <w:sz w:val="20"/>
        </w:rPr>
        <w:t>Cognition and Instruction, 1</w:t>
      </w:r>
      <w:r w:rsidRPr="00372911">
        <w:rPr>
          <w:rFonts w:cs="Arial"/>
          <w:sz w:val="20"/>
        </w:rPr>
        <w:t>(1), 5-44.</w:t>
      </w:r>
    </w:p>
    <w:p w:rsidR="00372911" w:rsidRPr="00372911" w:rsidRDefault="00372911" w:rsidP="00372911">
      <w:pPr>
        <w:ind w:left="720" w:hanging="720"/>
        <w:rPr>
          <w:rFonts w:cs="Arial"/>
          <w:sz w:val="20"/>
        </w:rPr>
      </w:pPr>
      <w:proofErr w:type="spellStart"/>
      <w:proofErr w:type="gramStart"/>
      <w:r w:rsidRPr="00372911">
        <w:rPr>
          <w:rFonts w:cs="Arial"/>
          <w:sz w:val="20"/>
        </w:rPr>
        <w:t>Erka</w:t>
      </w:r>
      <w:proofErr w:type="spellEnd"/>
      <w:r w:rsidRPr="00372911">
        <w:rPr>
          <w:rFonts w:cs="Arial"/>
          <w:sz w:val="20"/>
        </w:rPr>
        <w:t>, S. (2998).</w:t>
      </w:r>
      <w:proofErr w:type="gramEnd"/>
      <w:r w:rsidRPr="00372911">
        <w:rPr>
          <w:rFonts w:cs="Arial"/>
          <w:sz w:val="20"/>
        </w:rPr>
        <w:t xml:space="preserve">  </w:t>
      </w:r>
      <w:r w:rsidRPr="00372911">
        <w:rPr>
          <w:rFonts w:cs="Arial"/>
          <w:i/>
          <w:sz w:val="20"/>
        </w:rPr>
        <w:t>Learning styles and electronic information: Trends and issues alerts</w:t>
      </w:r>
      <w:r w:rsidRPr="00372911">
        <w:rPr>
          <w:rFonts w:cs="Arial"/>
          <w:sz w:val="20"/>
        </w:rPr>
        <w:t xml:space="preserve">. </w:t>
      </w:r>
      <w:r w:rsidRPr="00372911">
        <w:rPr>
          <w:rFonts w:cs="Arial"/>
          <w:bCs/>
          <w:sz w:val="20"/>
        </w:rPr>
        <w:t xml:space="preserve">(ERIC Document Reproduction Service No. </w:t>
      </w:r>
      <w:r w:rsidRPr="00372911">
        <w:rPr>
          <w:rFonts w:cs="Arial"/>
          <w:sz w:val="20"/>
        </w:rPr>
        <w:t>420 788)</w:t>
      </w:r>
    </w:p>
    <w:p w:rsidR="00372911" w:rsidRPr="00372911" w:rsidRDefault="00372911" w:rsidP="00372911">
      <w:pPr>
        <w:ind w:left="720" w:hanging="720"/>
        <w:rPr>
          <w:rFonts w:cs="Arial"/>
          <w:sz w:val="20"/>
        </w:rPr>
      </w:pPr>
      <w:r w:rsidRPr="00372911">
        <w:rPr>
          <w:rFonts w:cs="Arial"/>
          <w:sz w:val="20"/>
        </w:rPr>
        <w:t xml:space="preserve">Fisher, K.M. (2000a). </w:t>
      </w:r>
      <w:proofErr w:type="gramStart"/>
      <w:r w:rsidRPr="00372911">
        <w:rPr>
          <w:rFonts w:cs="Arial"/>
          <w:sz w:val="20"/>
        </w:rPr>
        <w:t>Overview of knowledge mapping.</w:t>
      </w:r>
      <w:proofErr w:type="gramEnd"/>
      <w:r w:rsidRPr="00372911">
        <w:rPr>
          <w:rFonts w:cs="Arial"/>
          <w:sz w:val="20"/>
        </w:rPr>
        <w:t xml:space="preserve"> </w:t>
      </w:r>
      <w:proofErr w:type="gramStart"/>
      <w:r w:rsidRPr="00372911">
        <w:rPr>
          <w:rFonts w:cs="Arial"/>
          <w:sz w:val="20"/>
        </w:rPr>
        <w:t xml:space="preserve">In K.M. Fisher, J.H. </w:t>
      </w:r>
      <w:proofErr w:type="spellStart"/>
      <w:r w:rsidRPr="00372911">
        <w:rPr>
          <w:rFonts w:cs="Arial"/>
          <w:sz w:val="20"/>
        </w:rPr>
        <w:t>Wandrsee</w:t>
      </w:r>
      <w:proofErr w:type="spellEnd"/>
      <w:r w:rsidRPr="00372911">
        <w:rPr>
          <w:rFonts w:cs="Arial"/>
          <w:sz w:val="20"/>
        </w:rPr>
        <w:t xml:space="preserve">, &amp; </w:t>
      </w:r>
      <w:proofErr w:type="spellStart"/>
      <w:r w:rsidRPr="00372911">
        <w:rPr>
          <w:rFonts w:cs="Arial"/>
          <w:sz w:val="20"/>
        </w:rPr>
        <w:t>D.E.Moody</w:t>
      </w:r>
      <w:proofErr w:type="spellEnd"/>
      <w:r w:rsidRPr="00372911">
        <w:rPr>
          <w:rFonts w:cs="Arial"/>
          <w:sz w:val="20"/>
        </w:rPr>
        <w:t xml:space="preserve"> (Eds.), </w:t>
      </w:r>
      <w:r w:rsidRPr="00372911">
        <w:rPr>
          <w:rFonts w:cs="Arial"/>
          <w:i/>
          <w:sz w:val="20"/>
        </w:rPr>
        <w:t>Mapping biology knowledge</w:t>
      </w:r>
      <w:r w:rsidRPr="00372911">
        <w:rPr>
          <w:rFonts w:cs="Arial"/>
          <w:sz w:val="20"/>
        </w:rPr>
        <w:t xml:space="preserve"> (pp.5-24).</w:t>
      </w:r>
      <w:proofErr w:type="gramEnd"/>
      <w:r w:rsidRPr="00372911">
        <w:rPr>
          <w:rFonts w:cs="Arial"/>
          <w:sz w:val="20"/>
        </w:rPr>
        <w:t xml:space="preserve"> Norwell, MA: Kluwer Academic.</w:t>
      </w:r>
    </w:p>
    <w:p w:rsidR="00372911" w:rsidRPr="00372911" w:rsidRDefault="00372911" w:rsidP="00372911">
      <w:pPr>
        <w:ind w:left="720" w:hanging="720"/>
        <w:rPr>
          <w:rFonts w:cs="Arial"/>
          <w:sz w:val="20"/>
        </w:rPr>
      </w:pPr>
      <w:proofErr w:type="gramStart"/>
      <w:r w:rsidRPr="00372911">
        <w:rPr>
          <w:rFonts w:cs="Arial"/>
          <w:sz w:val="20"/>
        </w:rPr>
        <w:t>Freed, J. (2006).</w:t>
      </w:r>
      <w:proofErr w:type="gramEnd"/>
      <w:r w:rsidRPr="00372911">
        <w:rPr>
          <w:rFonts w:cs="Arial"/>
          <w:sz w:val="20"/>
        </w:rPr>
        <w:t xml:space="preserve">  </w:t>
      </w:r>
      <w:proofErr w:type="gramStart"/>
      <w:r w:rsidRPr="00372911">
        <w:rPr>
          <w:rFonts w:cs="Arial"/>
          <w:sz w:val="20"/>
        </w:rPr>
        <w:t>Teaching the gifted visual spatial learner.</w:t>
      </w:r>
      <w:proofErr w:type="gramEnd"/>
      <w:r w:rsidRPr="00372911">
        <w:rPr>
          <w:rFonts w:cs="Arial"/>
          <w:sz w:val="20"/>
        </w:rPr>
        <w:t xml:space="preserve">  </w:t>
      </w:r>
      <w:proofErr w:type="gramStart"/>
      <w:r w:rsidRPr="00372911">
        <w:rPr>
          <w:rFonts w:cs="Arial"/>
          <w:i/>
          <w:sz w:val="20"/>
        </w:rPr>
        <w:t>Understanding Our Gifted, 18</w:t>
      </w:r>
      <w:r w:rsidRPr="00372911">
        <w:rPr>
          <w:rFonts w:cs="Arial"/>
          <w:sz w:val="20"/>
        </w:rPr>
        <w:t>(4), 3-6.</w:t>
      </w:r>
      <w:proofErr w:type="gramEnd"/>
    </w:p>
    <w:p w:rsidR="00372911" w:rsidRPr="00372911" w:rsidRDefault="00372911" w:rsidP="00372911">
      <w:pPr>
        <w:ind w:left="720" w:hanging="720"/>
        <w:rPr>
          <w:rFonts w:cs="Arial"/>
          <w:sz w:val="20"/>
        </w:rPr>
      </w:pPr>
      <w:proofErr w:type="gramStart"/>
      <w:r w:rsidRPr="00372911">
        <w:rPr>
          <w:rFonts w:cs="Arial"/>
          <w:sz w:val="20"/>
        </w:rPr>
        <w:t>Frey, D. &amp; Simonson, M. (1990).</w:t>
      </w:r>
      <w:proofErr w:type="gramEnd"/>
      <w:r w:rsidRPr="00372911">
        <w:rPr>
          <w:rFonts w:cs="Arial"/>
          <w:sz w:val="20"/>
        </w:rPr>
        <w:t xml:space="preserve">  A hypermedia lesson about 1875-1885 Costume: Cognitive style, perceptual modes, anxiety, attitude, and achievement.  </w:t>
      </w:r>
      <w:proofErr w:type="gramStart"/>
      <w:r w:rsidRPr="00372911">
        <w:rPr>
          <w:rFonts w:cs="Arial"/>
          <w:i/>
          <w:sz w:val="20"/>
        </w:rPr>
        <w:t>Proceedings of the Convention of the Association for Educational Communications and Technology</w:t>
      </w:r>
      <w:r w:rsidRPr="00372911">
        <w:rPr>
          <w:rFonts w:cs="Arial"/>
          <w:sz w:val="20"/>
        </w:rPr>
        <w:t>.</w:t>
      </w:r>
      <w:proofErr w:type="gramEnd"/>
      <w:r w:rsidRPr="00372911">
        <w:rPr>
          <w:rFonts w:cs="Arial"/>
          <w:sz w:val="20"/>
        </w:rPr>
        <w:t xml:space="preserve">  </w:t>
      </w:r>
      <w:r w:rsidRPr="00372911">
        <w:rPr>
          <w:rFonts w:cs="Arial"/>
          <w:bCs/>
          <w:sz w:val="20"/>
        </w:rPr>
        <w:t xml:space="preserve">(ERIC Document Reproduction Service No. </w:t>
      </w:r>
      <w:r w:rsidRPr="00372911">
        <w:rPr>
          <w:rFonts w:cs="Arial"/>
          <w:sz w:val="20"/>
        </w:rPr>
        <w:t>323 929)</w:t>
      </w:r>
    </w:p>
    <w:p w:rsidR="00372911" w:rsidRPr="00372911" w:rsidRDefault="00372911" w:rsidP="00372911">
      <w:pPr>
        <w:ind w:left="720" w:hanging="720"/>
        <w:rPr>
          <w:rFonts w:cs="Arial"/>
          <w:sz w:val="20"/>
        </w:rPr>
      </w:pPr>
      <w:r w:rsidRPr="00372911">
        <w:rPr>
          <w:rFonts w:cs="Arial"/>
          <w:sz w:val="20"/>
        </w:rPr>
        <w:t xml:space="preserve">Gall J. E., &amp; </w:t>
      </w:r>
      <w:proofErr w:type="spellStart"/>
      <w:r w:rsidRPr="00372911">
        <w:rPr>
          <w:rFonts w:cs="Arial"/>
          <w:sz w:val="20"/>
        </w:rPr>
        <w:t>Hannafin</w:t>
      </w:r>
      <w:proofErr w:type="spellEnd"/>
      <w:r w:rsidRPr="00372911">
        <w:rPr>
          <w:rFonts w:cs="Arial"/>
          <w:sz w:val="20"/>
        </w:rPr>
        <w:t xml:space="preserve">, M. J. (1994).  </w:t>
      </w:r>
      <w:proofErr w:type="gramStart"/>
      <w:r w:rsidRPr="00372911">
        <w:rPr>
          <w:rFonts w:cs="Arial"/>
          <w:sz w:val="20"/>
        </w:rPr>
        <w:t>A framework for the study of hypertext.</w:t>
      </w:r>
      <w:proofErr w:type="gramEnd"/>
      <w:r w:rsidRPr="00372911">
        <w:rPr>
          <w:rFonts w:cs="Arial"/>
          <w:sz w:val="20"/>
        </w:rPr>
        <w:t xml:space="preserve">  </w:t>
      </w:r>
      <w:r w:rsidRPr="00372911">
        <w:rPr>
          <w:rFonts w:cs="Arial"/>
          <w:i/>
          <w:sz w:val="20"/>
        </w:rPr>
        <w:t>Instructional Science, 22</w:t>
      </w:r>
      <w:r w:rsidRPr="00372911">
        <w:rPr>
          <w:rFonts w:cs="Arial"/>
          <w:sz w:val="20"/>
        </w:rPr>
        <w:t>(2), 20-28.</w:t>
      </w:r>
    </w:p>
    <w:p w:rsidR="00372911" w:rsidRPr="00372911" w:rsidRDefault="00372911" w:rsidP="00372911">
      <w:pPr>
        <w:ind w:left="720" w:hanging="720"/>
        <w:rPr>
          <w:rFonts w:cs="Arial"/>
          <w:sz w:val="20"/>
        </w:rPr>
      </w:pPr>
      <w:r w:rsidRPr="00372911">
        <w:rPr>
          <w:rFonts w:cs="Arial"/>
          <w:sz w:val="20"/>
        </w:rPr>
        <w:t xml:space="preserve">Gallagher, K. P. (2010).  </w:t>
      </w:r>
      <w:proofErr w:type="gramStart"/>
      <w:r w:rsidRPr="00372911">
        <w:rPr>
          <w:rFonts w:cs="Arial"/>
          <w:i/>
          <w:sz w:val="20"/>
        </w:rPr>
        <w:t>The impact of learning style on learning outcomes in an interactive multimedia instruction (IMI) program</w:t>
      </w:r>
      <w:r w:rsidRPr="00372911">
        <w:rPr>
          <w:rFonts w:cs="Arial"/>
          <w:sz w:val="20"/>
        </w:rPr>
        <w:t>.</w:t>
      </w:r>
      <w:proofErr w:type="gramEnd"/>
      <w:r w:rsidRPr="00372911">
        <w:rPr>
          <w:rFonts w:cs="Arial"/>
          <w:sz w:val="20"/>
        </w:rPr>
        <w:t xml:space="preserve">  </w:t>
      </w:r>
      <w:proofErr w:type="gramStart"/>
      <w:r w:rsidRPr="00372911">
        <w:rPr>
          <w:rFonts w:cs="Arial"/>
          <w:sz w:val="20"/>
        </w:rPr>
        <w:t>(Doctoral dissertation).</w:t>
      </w:r>
      <w:proofErr w:type="gramEnd"/>
      <w:r w:rsidRPr="00372911">
        <w:rPr>
          <w:rFonts w:cs="Arial"/>
          <w:sz w:val="20"/>
        </w:rPr>
        <w:t xml:space="preserve"> </w:t>
      </w:r>
      <w:proofErr w:type="gramStart"/>
      <w:r w:rsidRPr="00372911">
        <w:rPr>
          <w:rFonts w:cs="Arial"/>
          <w:sz w:val="20"/>
        </w:rPr>
        <w:t>Retrieved from Dissertations and Theses database.</w:t>
      </w:r>
      <w:proofErr w:type="gramEnd"/>
      <w:r w:rsidRPr="00372911">
        <w:rPr>
          <w:rFonts w:cs="Arial"/>
          <w:sz w:val="20"/>
        </w:rPr>
        <w:t xml:space="preserve"> (UMI No. 3435219)</w:t>
      </w:r>
    </w:p>
    <w:p w:rsidR="00372911" w:rsidRPr="00372911" w:rsidRDefault="00372911" w:rsidP="00372911">
      <w:pPr>
        <w:ind w:left="720" w:hanging="720"/>
        <w:rPr>
          <w:rFonts w:cs="Arial"/>
          <w:sz w:val="20"/>
        </w:rPr>
      </w:pPr>
      <w:proofErr w:type="spellStart"/>
      <w:proofErr w:type="gramStart"/>
      <w:r w:rsidRPr="00372911">
        <w:rPr>
          <w:rFonts w:cs="Arial"/>
          <w:sz w:val="20"/>
        </w:rPr>
        <w:t>Gardill</w:t>
      </w:r>
      <w:proofErr w:type="spellEnd"/>
      <w:r w:rsidRPr="00372911">
        <w:rPr>
          <w:rFonts w:cs="Arial"/>
          <w:sz w:val="20"/>
        </w:rPr>
        <w:t xml:space="preserve">, M. C., &amp; </w:t>
      </w:r>
      <w:proofErr w:type="spellStart"/>
      <w:r w:rsidRPr="00372911">
        <w:rPr>
          <w:rFonts w:cs="Arial"/>
          <w:sz w:val="20"/>
        </w:rPr>
        <w:t>Jitendra</w:t>
      </w:r>
      <w:proofErr w:type="spellEnd"/>
      <w:r w:rsidRPr="00372911">
        <w:rPr>
          <w:rFonts w:cs="Arial"/>
          <w:sz w:val="20"/>
        </w:rPr>
        <w:t>, A. K. (1999).</w:t>
      </w:r>
      <w:proofErr w:type="gramEnd"/>
      <w:r w:rsidRPr="00372911">
        <w:rPr>
          <w:rFonts w:cs="Arial"/>
          <w:sz w:val="20"/>
        </w:rPr>
        <w:t xml:space="preserve"> </w:t>
      </w:r>
      <w:proofErr w:type="gramStart"/>
      <w:r w:rsidRPr="00372911">
        <w:rPr>
          <w:rFonts w:cs="Arial"/>
          <w:sz w:val="20"/>
        </w:rPr>
        <w:t>Advanced story map instruction: Effects on the reading comprehension of students with learning disabilities.</w:t>
      </w:r>
      <w:proofErr w:type="gramEnd"/>
      <w:r w:rsidRPr="00372911">
        <w:rPr>
          <w:rFonts w:cs="Arial"/>
          <w:sz w:val="20"/>
        </w:rPr>
        <w:t xml:space="preserve"> </w:t>
      </w:r>
      <w:r w:rsidRPr="00372911">
        <w:rPr>
          <w:rFonts w:cs="Arial"/>
          <w:i/>
          <w:sz w:val="20"/>
        </w:rPr>
        <w:t>The Journal of Special Education, 33</w:t>
      </w:r>
      <w:r w:rsidRPr="00372911">
        <w:rPr>
          <w:rFonts w:cs="Arial"/>
          <w:sz w:val="20"/>
        </w:rPr>
        <w:t>(1), 2-17.</w:t>
      </w:r>
    </w:p>
    <w:p w:rsidR="00372911" w:rsidRPr="00372911" w:rsidRDefault="00372911" w:rsidP="00372911">
      <w:pPr>
        <w:ind w:left="720" w:hanging="720"/>
        <w:rPr>
          <w:rFonts w:cs="Arial"/>
          <w:sz w:val="20"/>
        </w:rPr>
      </w:pPr>
      <w:proofErr w:type="spellStart"/>
      <w:proofErr w:type="gramStart"/>
      <w:r w:rsidRPr="00372911">
        <w:rPr>
          <w:rFonts w:cs="Arial"/>
          <w:sz w:val="20"/>
        </w:rPr>
        <w:t>Hegarty</w:t>
      </w:r>
      <w:proofErr w:type="spellEnd"/>
      <w:r w:rsidRPr="00372911">
        <w:rPr>
          <w:rFonts w:cs="Arial"/>
          <w:sz w:val="20"/>
        </w:rPr>
        <w:t>, M. (1991).</w:t>
      </w:r>
      <w:proofErr w:type="gramEnd"/>
      <w:r w:rsidRPr="00372911">
        <w:rPr>
          <w:rFonts w:cs="Arial"/>
          <w:sz w:val="20"/>
        </w:rPr>
        <w:t xml:space="preserve"> Knowledge and processes in mechanical problem solving. In R. J. Sternberg &amp; P. A. </w:t>
      </w:r>
      <w:proofErr w:type="spellStart"/>
      <w:r w:rsidRPr="00372911">
        <w:rPr>
          <w:rFonts w:cs="Arial"/>
          <w:sz w:val="20"/>
        </w:rPr>
        <w:t>Frensch</w:t>
      </w:r>
      <w:proofErr w:type="spellEnd"/>
      <w:r w:rsidRPr="00372911">
        <w:rPr>
          <w:rFonts w:cs="Arial"/>
          <w:sz w:val="20"/>
        </w:rPr>
        <w:t xml:space="preserve"> (Eds.), </w:t>
      </w:r>
      <w:r w:rsidRPr="00372911">
        <w:rPr>
          <w:rFonts w:cs="Arial"/>
          <w:i/>
          <w:sz w:val="20"/>
        </w:rPr>
        <w:t>Complex problem solving: Principles and mechanisms</w:t>
      </w:r>
      <w:r w:rsidRPr="00372911">
        <w:rPr>
          <w:rFonts w:cs="Arial"/>
          <w:sz w:val="20"/>
        </w:rPr>
        <w:t xml:space="preserve"> (pp. 253-285). Hillsdale, NJ: Lawrence Erlbaum. </w:t>
      </w:r>
    </w:p>
    <w:p w:rsidR="00372911" w:rsidRPr="00372911" w:rsidRDefault="00372911" w:rsidP="00372911">
      <w:pPr>
        <w:ind w:left="720" w:hanging="720"/>
        <w:rPr>
          <w:rFonts w:cs="Arial"/>
          <w:sz w:val="20"/>
        </w:rPr>
      </w:pPr>
      <w:proofErr w:type="gramStart"/>
      <w:r w:rsidRPr="00372911">
        <w:rPr>
          <w:rFonts w:cs="Arial"/>
          <w:sz w:val="20"/>
        </w:rPr>
        <w:t>Heller, R. S. (1990).</w:t>
      </w:r>
      <w:proofErr w:type="gramEnd"/>
      <w:r w:rsidRPr="00372911">
        <w:rPr>
          <w:rFonts w:cs="Arial"/>
          <w:sz w:val="20"/>
        </w:rPr>
        <w:t xml:space="preserve"> The role of hypermedia in education: A look at the research issues. </w:t>
      </w:r>
      <w:proofErr w:type="gramStart"/>
      <w:r w:rsidRPr="00372911">
        <w:rPr>
          <w:rFonts w:cs="Arial"/>
          <w:i/>
          <w:sz w:val="20"/>
        </w:rPr>
        <w:t>Journal of Research on Computing in Education, 22</w:t>
      </w:r>
      <w:r w:rsidRPr="00372911">
        <w:rPr>
          <w:rFonts w:cs="Arial"/>
          <w:sz w:val="20"/>
        </w:rPr>
        <w:t>(4), 431-441.</w:t>
      </w:r>
      <w:proofErr w:type="gramEnd"/>
    </w:p>
    <w:p w:rsidR="00372911" w:rsidRPr="00372911" w:rsidRDefault="00372911" w:rsidP="00372911">
      <w:pPr>
        <w:ind w:left="720" w:hanging="720"/>
        <w:rPr>
          <w:rFonts w:cs="Arial"/>
          <w:sz w:val="20"/>
        </w:rPr>
      </w:pPr>
      <w:proofErr w:type="spellStart"/>
      <w:proofErr w:type="gramStart"/>
      <w:r w:rsidRPr="00372911">
        <w:rPr>
          <w:rFonts w:cs="Arial"/>
          <w:sz w:val="20"/>
        </w:rPr>
        <w:t>Jonassen</w:t>
      </w:r>
      <w:proofErr w:type="spellEnd"/>
      <w:r w:rsidRPr="00372911">
        <w:rPr>
          <w:rFonts w:cs="Arial"/>
          <w:sz w:val="20"/>
        </w:rPr>
        <w:t>, D. H. (2001).</w:t>
      </w:r>
      <w:proofErr w:type="gramEnd"/>
      <w:r w:rsidRPr="00372911">
        <w:rPr>
          <w:rFonts w:cs="Arial"/>
          <w:sz w:val="20"/>
        </w:rPr>
        <w:t xml:space="preserve"> Can you train your employees to solve problems: If so, what kind? </w:t>
      </w:r>
      <w:r w:rsidRPr="00372911">
        <w:rPr>
          <w:rFonts w:cs="Arial"/>
          <w:i/>
          <w:sz w:val="20"/>
        </w:rPr>
        <w:t>Performance Improvement, 40</w:t>
      </w:r>
      <w:r w:rsidRPr="00372911">
        <w:rPr>
          <w:rFonts w:cs="Arial"/>
          <w:sz w:val="20"/>
        </w:rPr>
        <w:t xml:space="preserve">(9), 16-22. </w:t>
      </w:r>
    </w:p>
    <w:p w:rsidR="00372911" w:rsidRPr="00372911" w:rsidRDefault="00372911" w:rsidP="00372911">
      <w:pPr>
        <w:ind w:left="720" w:hanging="720"/>
        <w:rPr>
          <w:rFonts w:cs="Arial"/>
          <w:sz w:val="20"/>
        </w:rPr>
      </w:pPr>
      <w:proofErr w:type="spellStart"/>
      <w:proofErr w:type="gramStart"/>
      <w:r w:rsidRPr="00372911">
        <w:rPr>
          <w:rFonts w:cs="Arial"/>
          <w:sz w:val="20"/>
        </w:rPr>
        <w:t>Jonassen</w:t>
      </w:r>
      <w:proofErr w:type="spellEnd"/>
      <w:r w:rsidRPr="00372911">
        <w:rPr>
          <w:rFonts w:cs="Arial"/>
          <w:sz w:val="20"/>
        </w:rPr>
        <w:t>, D. H. (2011).</w:t>
      </w:r>
      <w:proofErr w:type="gramEnd"/>
      <w:r w:rsidRPr="00372911">
        <w:rPr>
          <w:rFonts w:cs="Arial"/>
          <w:sz w:val="20"/>
        </w:rPr>
        <w:t xml:space="preserve"> Ask Systems: Interrogative Access to Multiple Ways of Thinking. </w:t>
      </w:r>
      <w:r w:rsidRPr="00372911">
        <w:rPr>
          <w:rFonts w:cs="Arial"/>
          <w:i/>
          <w:sz w:val="20"/>
        </w:rPr>
        <w:t>Educational Technology Research and Development, 59</w:t>
      </w:r>
      <w:r w:rsidRPr="00372911">
        <w:rPr>
          <w:rFonts w:cs="Arial"/>
          <w:sz w:val="20"/>
        </w:rPr>
        <w:t>(1), 159-175.</w:t>
      </w:r>
    </w:p>
    <w:p w:rsidR="00372911" w:rsidRPr="00372911" w:rsidRDefault="00372911" w:rsidP="00372911">
      <w:pPr>
        <w:ind w:left="720" w:hanging="720"/>
        <w:rPr>
          <w:rFonts w:cs="Arial"/>
          <w:sz w:val="20"/>
        </w:rPr>
      </w:pPr>
      <w:proofErr w:type="spellStart"/>
      <w:proofErr w:type="gramStart"/>
      <w:r w:rsidRPr="00372911">
        <w:rPr>
          <w:rFonts w:cs="Arial"/>
          <w:sz w:val="20"/>
        </w:rPr>
        <w:t>Jonassen</w:t>
      </w:r>
      <w:proofErr w:type="spellEnd"/>
      <w:r w:rsidRPr="00372911">
        <w:rPr>
          <w:rFonts w:cs="Arial"/>
          <w:sz w:val="20"/>
        </w:rPr>
        <w:t xml:space="preserve">, D. H., </w:t>
      </w:r>
      <w:proofErr w:type="spellStart"/>
      <w:r w:rsidRPr="00372911">
        <w:rPr>
          <w:rFonts w:cs="Arial"/>
          <w:sz w:val="20"/>
        </w:rPr>
        <w:t>Beissner</w:t>
      </w:r>
      <w:proofErr w:type="spellEnd"/>
      <w:r w:rsidRPr="00372911">
        <w:rPr>
          <w:rFonts w:cs="Arial"/>
          <w:sz w:val="20"/>
        </w:rPr>
        <w:t xml:space="preserve">, K., &amp; </w:t>
      </w:r>
      <w:proofErr w:type="spellStart"/>
      <w:r w:rsidRPr="00372911">
        <w:rPr>
          <w:rFonts w:cs="Arial"/>
          <w:sz w:val="20"/>
        </w:rPr>
        <w:t>Yacci</w:t>
      </w:r>
      <w:proofErr w:type="spellEnd"/>
      <w:r w:rsidRPr="00372911">
        <w:rPr>
          <w:rFonts w:cs="Arial"/>
          <w:sz w:val="20"/>
        </w:rPr>
        <w:t>, M. (1993).</w:t>
      </w:r>
      <w:proofErr w:type="gramEnd"/>
      <w:r w:rsidRPr="00372911">
        <w:rPr>
          <w:rFonts w:cs="Arial"/>
          <w:sz w:val="20"/>
        </w:rPr>
        <w:t xml:space="preserve"> Structural knowledge: Techniques for representing, conveying and assessment tools. Journal of Interactive Learning Research</w:t>
      </w:r>
      <w:r w:rsidRPr="00372911">
        <w:rPr>
          <w:rFonts w:cs="Arial"/>
          <w:i/>
          <w:sz w:val="20"/>
        </w:rPr>
        <w:t>, 8</w:t>
      </w:r>
      <w:r w:rsidRPr="00372911">
        <w:rPr>
          <w:rFonts w:cs="Arial"/>
          <w:sz w:val="20"/>
        </w:rPr>
        <w:t>(3/4), 289-308.</w:t>
      </w:r>
    </w:p>
    <w:p w:rsidR="00372911" w:rsidRPr="00372911" w:rsidRDefault="00372911" w:rsidP="00372911">
      <w:pPr>
        <w:ind w:left="720" w:hanging="720"/>
        <w:rPr>
          <w:rFonts w:cs="Arial"/>
          <w:sz w:val="20"/>
        </w:rPr>
      </w:pPr>
      <w:proofErr w:type="spellStart"/>
      <w:r w:rsidRPr="00372911">
        <w:rPr>
          <w:rFonts w:cs="Arial"/>
          <w:sz w:val="20"/>
        </w:rPr>
        <w:t>Jonassen</w:t>
      </w:r>
      <w:proofErr w:type="spellEnd"/>
      <w:r w:rsidRPr="00372911">
        <w:rPr>
          <w:rFonts w:cs="Arial"/>
          <w:sz w:val="20"/>
        </w:rPr>
        <w:t xml:space="preserve">, D. H., Carr, C. S., &amp; </w:t>
      </w:r>
      <w:proofErr w:type="spellStart"/>
      <w:r w:rsidRPr="00372911">
        <w:rPr>
          <w:rFonts w:cs="Arial"/>
          <w:sz w:val="20"/>
        </w:rPr>
        <w:t>Lajoie</w:t>
      </w:r>
      <w:proofErr w:type="spellEnd"/>
      <w:r w:rsidRPr="00372911">
        <w:rPr>
          <w:rFonts w:cs="Arial"/>
          <w:sz w:val="20"/>
        </w:rPr>
        <w:t xml:space="preserve">, S. P. (2000). </w:t>
      </w:r>
      <w:proofErr w:type="gramStart"/>
      <w:r w:rsidRPr="00372911">
        <w:rPr>
          <w:rFonts w:cs="Arial"/>
          <w:i/>
          <w:sz w:val="20"/>
        </w:rPr>
        <w:t>Computers as cognitive tools</w:t>
      </w:r>
      <w:r w:rsidRPr="00372911">
        <w:rPr>
          <w:rFonts w:cs="Arial"/>
          <w:sz w:val="20"/>
        </w:rPr>
        <w:t>.</w:t>
      </w:r>
      <w:proofErr w:type="gramEnd"/>
      <w:r w:rsidRPr="00372911">
        <w:rPr>
          <w:rFonts w:cs="Arial"/>
          <w:sz w:val="20"/>
        </w:rPr>
        <w:t xml:space="preserve"> Hillsdale, NJ: </w:t>
      </w:r>
      <w:proofErr w:type="spellStart"/>
      <w:r w:rsidRPr="00372911">
        <w:rPr>
          <w:rFonts w:cs="Arial"/>
          <w:sz w:val="20"/>
        </w:rPr>
        <w:t>Lawlence</w:t>
      </w:r>
      <w:proofErr w:type="spellEnd"/>
      <w:r w:rsidRPr="00372911">
        <w:rPr>
          <w:rFonts w:cs="Arial"/>
          <w:sz w:val="20"/>
        </w:rPr>
        <w:t xml:space="preserve"> Erlbaum.</w:t>
      </w:r>
    </w:p>
    <w:p w:rsidR="00372911" w:rsidRPr="00372911" w:rsidRDefault="00372911" w:rsidP="00372911">
      <w:pPr>
        <w:ind w:left="720" w:hanging="720"/>
        <w:rPr>
          <w:rFonts w:cs="Arial"/>
          <w:sz w:val="20"/>
        </w:rPr>
      </w:pPr>
      <w:proofErr w:type="gramStart"/>
      <w:r w:rsidRPr="00372911">
        <w:rPr>
          <w:rFonts w:cs="Arial"/>
          <w:sz w:val="20"/>
        </w:rPr>
        <w:t>Joyce, M. (1988).</w:t>
      </w:r>
      <w:proofErr w:type="gramEnd"/>
      <w:r w:rsidRPr="00372911">
        <w:rPr>
          <w:rFonts w:cs="Arial"/>
          <w:sz w:val="20"/>
        </w:rPr>
        <w:t xml:space="preserve">  Siren shapes: Exploratory and constructive hypertexts.  </w:t>
      </w:r>
      <w:r w:rsidRPr="00372911">
        <w:rPr>
          <w:rFonts w:cs="Arial"/>
          <w:i/>
          <w:sz w:val="20"/>
        </w:rPr>
        <w:t>Academic Computing, 3</w:t>
      </w:r>
      <w:r w:rsidRPr="00372911">
        <w:rPr>
          <w:rFonts w:cs="Arial"/>
          <w:sz w:val="20"/>
        </w:rPr>
        <w:t xml:space="preserve">(4), 10-14, 37-42. </w:t>
      </w:r>
    </w:p>
    <w:p w:rsidR="00372911" w:rsidRPr="00372911" w:rsidRDefault="00372911" w:rsidP="00372911">
      <w:pPr>
        <w:ind w:left="720" w:hanging="720"/>
        <w:rPr>
          <w:rFonts w:cs="Arial"/>
          <w:sz w:val="20"/>
        </w:rPr>
      </w:pPr>
      <w:proofErr w:type="spellStart"/>
      <w:r w:rsidRPr="00372911">
        <w:rPr>
          <w:rFonts w:cs="Arial"/>
          <w:sz w:val="20"/>
        </w:rPr>
        <w:t>Kearsley</w:t>
      </w:r>
      <w:proofErr w:type="spellEnd"/>
      <w:r w:rsidRPr="00372911">
        <w:rPr>
          <w:rFonts w:cs="Arial"/>
          <w:sz w:val="20"/>
        </w:rPr>
        <w:t xml:space="preserve">, G. (1988).  </w:t>
      </w:r>
      <w:proofErr w:type="gramStart"/>
      <w:r w:rsidRPr="00372911">
        <w:rPr>
          <w:rFonts w:cs="Arial"/>
          <w:sz w:val="20"/>
        </w:rPr>
        <w:t>Authoring considerations for hypertext.</w:t>
      </w:r>
      <w:proofErr w:type="gramEnd"/>
      <w:r w:rsidRPr="00372911">
        <w:rPr>
          <w:rFonts w:cs="Arial"/>
          <w:sz w:val="20"/>
        </w:rPr>
        <w:t xml:space="preserve">  </w:t>
      </w:r>
      <w:proofErr w:type="spellStart"/>
      <w:r w:rsidRPr="00372911">
        <w:rPr>
          <w:rFonts w:cs="Arial"/>
          <w:i/>
          <w:sz w:val="20"/>
        </w:rPr>
        <w:t>Eductional</w:t>
      </w:r>
      <w:proofErr w:type="spellEnd"/>
      <w:r w:rsidRPr="00372911">
        <w:rPr>
          <w:rFonts w:cs="Arial"/>
          <w:i/>
          <w:sz w:val="20"/>
        </w:rPr>
        <w:t xml:space="preserve"> </w:t>
      </w:r>
      <w:proofErr w:type="spellStart"/>
      <w:r w:rsidRPr="00372911">
        <w:rPr>
          <w:rFonts w:cs="Arial"/>
          <w:i/>
          <w:sz w:val="20"/>
        </w:rPr>
        <w:t>Techology</w:t>
      </w:r>
      <w:proofErr w:type="spellEnd"/>
      <w:r w:rsidRPr="00372911">
        <w:rPr>
          <w:rFonts w:cs="Arial"/>
          <w:i/>
          <w:sz w:val="20"/>
        </w:rPr>
        <w:t>, 28</w:t>
      </w:r>
      <w:r w:rsidRPr="00372911">
        <w:rPr>
          <w:rFonts w:cs="Arial"/>
          <w:sz w:val="20"/>
        </w:rPr>
        <w:t xml:space="preserve">(11), 21-24.  </w:t>
      </w:r>
    </w:p>
    <w:p w:rsidR="00372911" w:rsidRPr="00372911" w:rsidRDefault="00372911" w:rsidP="00372911">
      <w:pPr>
        <w:ind w:left="720" w:hanging="720"/>
        <w:rPr>
          <w:rFonts w:cs="Arial"/>
          <w:sz w:val="20"/>
        </w:rPr>
      </w:pPr>
      <w:proofErr w:type="spellStart"/>
      <w:r w:rsidRPr="00372911">
        <w:rPr>
          <w:rFonts w:cs="Arial"/>
          <w:sz w:val="20"/>
        </w:rPr>
        <w:t>Khalifa</w:t>
      </w:r>
      <w:proofErr w:type="spellEnd"/>
      <w:r w:rsidRPr="00372911">
        <w:rPr>
          <w:rFonts w:cs="Arial"/>
          <w:sz w:val="20"/>
        </w:rPr>
        <w:t xml:space="preserve">, M. (1993) Non-linear Instruction of MIS: Why and when? </w:t>
      </w:r>
      <w:r w:rsidRPr="00372911">
        <w:rPr>
          <w:rFonts w:cs="Arial"/>
          <w:i/>
          <w:sz w:val="20"/>
        </w:rPr>
        <w:t>Journal of Information Systems Education, 5</w:t>
      </w:r>
      <w:r w:rsidRPr="00372911">
        <w:rPr>
          <w:rFonts w:cs="Arial"/>
          <w:sz w:val="20"/>
        </w:rPr>
        <w:t>(2), pp. 28-34.</w:t>
      </w:r>
    </w:p>
    <w:p w:rsidR="00372911" w:rsidRPr="00372911" w:rsidRDefault="00372911" w:rsidP="00372911">
      <w:pPr>
        <w:ind w:left="720" w:hanging="720"/>
        <w:rPr>
          <w:rFonts w:cs="Arial"/>
          <w:sz w:val="20"/>
        </w:rPr>
      </w:pPr>
      <w:proofErr w:type="spellStart"/>
      <w:proofErr w:type="gramStart"/>
      <w:r w:rsidRPr="00372911">
        <w:rPr>
          <w:rFonts w:cs="Arial"/>
          <w:sz w:val="20"/>
        </w:rPr>
        <w:t>Khalifa</w:t>
      </w:r>
      <w:proofErr w:type="spellEnd"/>
      <w:r w:rsidRPr="00372911">
        <w:rPr>
          <w:rFonts w:cs="Arial"/>
          <w:sz w:val="20"/>
        </w:rPr>
        <w:t>, M. (1998).</w:t>
      </w:r>
      <w:proofErr w:type="gramEnd"/>
      <w:r w:rsidRPr="00372911">
        <w:rPr>
          <w:rFonts w:cs="Arial"/>
          <w:sz w:val="20"/>
        </w:rPr>
        <w:t xml:space="preserve"> </w:t>
      </w:r>
      <w:proofErr w:type="gramStart"/>
      <w:r w:rsidRPr="00372911">
        <w:rPr>
          <w:rFonts w:cs="Arial"/>
          <w:sz w:val="20"/>
        </w:rPr>
        <w:t>Effects of hypertext on knowledge construction.</w:t>
      </w:r>
      <w:proofErr w:type="gramEnd"/>
      <w:r w:rsidRPr="00372911">
        <w:rPr>
          <w:rFonts w:cs="Arial"/>
          <w:sz w:val="20"/>
        </w:rPr>
        <w:t xml:space="preserve">  </w:t>
      </w:r>
      <w:r w:rsidRPr="00372911">
        <w:rPr>
          <w:rFonts w:cs="Arial"/>
          <w:i/>
          <w:sz w:val="20"/>
        </w:rPr>
        <w:t>Proceedings of the Thirty-First Hawaii International Conference on System Sciences</w:t>
      </w:r>
      <w:r w:rsidRPr="00372911">
        <w:rPr>
          <w:rFonts w:cs="Arial"/>
          <w:sz w:val="20"/>
        </w:rPr>
        <w:t>, USA, 1, 294-300.</w:t>
      </w:r>
    </w:p>
    <w:p w:rsidR="00372911" w:rsidRPr="00372911" w:rsidRDefault="00372911" w:rsidP="00372911">
      <w:pPr>
        <w:ind w:left="720" w:hanging="720"/>
        <w:rPr>
          <w:rFonts w:cs="Arial"/>
          <w:sz w:val="20"/>
        </w:rPr>
      </w:pPr>
      <w:r w:rsidRPr="00372911">
        <w:rPr>
          <w:rFonts w:cs="Arial"/>
          <w:sz w:val="20"/>
        </w:rPr>
        <w:t xml:space="preserve">Lee, Y., Baylor, A. L., &amp; Nelson, D. W. (2005). </w:t>
      </w:r>
      <w:proofErr w:type="gramStart"/>
      <w:r w:rsidRPr="00372911">
        <w:rPr>
          <w:rFonts w:cs="Arial"/>
          <w:sz w:val="20"/>
        </w:rPr>
        <w:t>Supporting problem-solving performance through the construction of knowledge maps.</w:t>
      </w:r>
      <w:proofErr w:type="gramEnd"/>
      <w:r w:rsidRPr="00372911">
        <w:rPr>
          <w:rFonts w:cs="Arial"/>
          <w:sz w:val="20"/>
        </w:rPr>
        <w:t xml:space="preserve"> </w:t>
      </w:r>
      <w:r w:rsidRPr="00372911">
        <w:rPr>
          <w:rFonts w:cs="Arial"/>
          <w:i/>
          <w:sz w:val="20"/>
        </w:rPr>
        <w:t>Journal of Interactive Learning Research, 16</w:t>
      </w:r>
      <w:r w:rsidRPr="00372911">
        <w:rPr>
          <w:rFonts w:cs="Arial"/>
          <w:sz w:val="20"/>
        </w:rPr>
        <w:t>(2), 117-131.</w:t>
      </w:r>
    </w:p>
    <w:p w:rsidR="00372911" w:rsidRPr="00372911" w:rsidRDefault="00372911" w:rsidP="00372911">
      <w:pPr>
        <w:ind w:left="720" w:hanging="720"/>
        <w:rPr>
          <w:rFonts w:cs="Arial"/>
          <w:sz w:val="20"/>
        </w:rPr>
      </w:pPr>
      <w:proofErr w:type="gramStart"/>
      <w:r w:rsidRPr="00372911">
        <w:rPr>
          <w:rFonts w:cs="Arial"/>
          <w:sz w:val="20"/>
        </w:rPr>
        <w:t>Liu, M., Reed, M.</w:t>
      </w:r>
      <w:proofErr w:type="gramEnd"/>
      <w:r w:rsidRPr="00372911">
        <w:rPr>
          <w:rFonts w:cs="Arial"/>
          <w:sz w:val="20"/>
        </w:rPr>
        <w:t xml:space="preserve">  (1994)</w:t>
      </w:r>
      <w:proofErr w:type="gramStart"/>
      <w:r w:rsidRPr="00372911">
        <w:rPr>
          <w:rFonts w:cs="Arial"/>
          <w:sz w:val="20"/>
        </w:rPr>
        <w:t>.  The</w:t>
      </w:r>
      <w:proofErr w:type="gramEnd"/>
      <w:r w:rsidRPr="00372911">
        <w:rPr>
          <w:rFonts w:cs="Arial"/>
          <w:sz w:val="20"/>
        </w:rPr>
        <w:t xml:space="preserve"> relationship between the learning strategies and learning styles in the hypermedia environment. </w:t>
      </w:r>
      <w:r w:rsidRPr="00372911">
        <w:rPr>
          <w:rFonts w:cs="Arial"/>
          <w:i/>
          <w:sz w:val="20"/>
        </w:rPr>
        <w:t>Proceedings of the Annual Conference of the Association for Educational Communications and Technology and the Association for the Development of Computer-Based Instructional Systems</w:t>
      </w:r>
      <w:r w:rsidRPr="00372911">
        <w:rPr>
          <w:rFonts w:cs="Arial"/>
          <w:sz w:val="20"/>
        </w:rPr>
        <w:t xml:space="preserve">, Nashville, TN, 16-20. </w:t>
      </w:r>
      <w:r w:rsidRPr="00372911">
        <w:rPr>
          <w:rFonts w:cs="Arial"/>
          <w:bCs/>
          <w:sz w:val="20"/>
        </w:rPr>
        <w:t xml:space="preserve">(ERIC Document Reproduction Service No. </w:t>
      </w:r>
      <w:r w:rsidRPr="00372911">
        <w:rPr>
          <w:rFonts w:cs="Arial"/>
          <w:sz w:val="20"/>
        </w:rPr>
        <w:t>372 727)</w:t>
      </w:r>
    </w:p>
    <w:p w:rsidR="00372911" w:rsidRPr="00372911" w:rsidRDefault="00372911" w:rsidP="00372911">
      <w:pPr>
        <w:ind w:left="720" w:hanging="720"/>
        <w:rPr>
          <w:rFonts w:cs="Arial"/>
          <w:sz w:val="20"/>
        </w:rPr>
      </w:pPr>
      <w:proofErr w:type="spellStart"/>
      <w:r w:rsidRPr="00372911">
        <w:rPr>
          <w:rFonts w:cs="Arial"/>
          <w:sz w:val="20"/>
        </w:rPr>
        <w:t>Marchionini</w:t>
      </w:r>
      <w:proofErr w:type="spellEnd"/>
      <w:r w:rsidRPr="00372911">
        <w:rPr>
          <w:rFonts w:cs="Arial"/>
          <w:sz w:val="20"/>
        </w:rPr>
        <w:t xml:space="preserve">, G. (1988).  Hypermedia and learning: Freedom and chaos.  </w:t>
      </w:r>
      <w:r w:rsidRPr="00372911">
        <w:rPr>
          <w:rFonts w:cs="Arial"/>
          <w:i/>
          <w:sz w:val="20"/>
        </w:rPr>
        <w:t>Educational Technology, 28</w:t>
      </w:r>
      <w:r w:rsidRPr="00372911">
        <w:rPr>
          <w:rFonts w:cs="Arial"/>
          <w:sz w:val="20"/>
        </w:rPr>
        <w:t xml:space="preserve">(11), 8-12.  </w:t>
      </w:r>
    </w:p>
    <w:p w:rsidR="00372911" w:rsidRPr="00372911" w:rsidRDefault="00372911" w:rsidP="00372911">
      <w:pPr>
        <w:ind w:left="720" w:hanging="720"/>
        <w:rPr>
          <w:rFonts w:cs="Arial"/>
          <w:sz w:val="20"/>
        </w:rPr>
      </w:pPr>
      <w:proofErr w:type="spellStart"/>
      <w:r w:rsidRPr="00372911">
        <w:rPr>
          <w:rFonts w:cs="Arial"/>
          <w:sz w:val="20"/>
        </w:rPr>
        <w:t>Marchionini</w:t>
      </w:r>
      <w:proofErr w:type="spellEnd"/>
      <w:r w:rsidRPr="00372911">
        <w:rPr>
          <w:rFonts w:cs="Arial"/>
          <w:sz w:val="20"/>
        </w:rPr>
        <w:t xml:space="preserve">, G. (2008). Digital Video Policy and Practice in Higher Education: From Gatekeeping to Viral Lectures. </w:t>
      </w:r>
      <w:r w:rsidRPr="00372911">
        <w:rPr>
          <w:rFonts w:cs="Arial"/>
          <w:i/>
          <w:sz w:val="20"/>
        </w:rPr>
        <w:t>Educational Technology, 48</w:t>
      </w:r>
      <w:r w:rsidRPr="00372911">
        <w:rPr>
          <w:rFonts w:cs="Arial"/>
          <w:sz w:val="20"/>
        </w:rPr>
        <w:t>(5), 39-41.</w:t>
      </w:r>
    </w:p>
    <w:p w:rsidR="00372911" w:rsidRPr="00372911" w:rsidRDefault="00372911" w:rsidP="00372911">
      <w:pPr>
        <w:ind w:left="720" w:hanging="720"/>
        <w:rPr>
          <w:rFonts w:cs="Arial"/>
          <w:sz w:val="20"/>
        </w:rPr>
      </w:pPr>
      <w:r w:rsidRPr="00372911">
        <w:rPr>
          <w:rFonts w:cs="Arial"/>
          <w:sz w:val="20"/>
        </w:rPr>
        <w:t xml:space="preserve">Marshall, S. P. (1995).  </w:t>
      </w:r>
      <w:proofErr w:type="gramStart"/>
      <w:r w:rsidRPr="00372911">
        <w:rPr>
          <w:rFonts w:cs="Arial"/>
          <w:i/>
          <w:sz w:val="20"/>
        </w:rPr>
        <w:t>Schemas in problem solving</w:t>
      </w:r>
      <w:r w:rsidRPr="00372911">
        <w:rPr>
          <w:rFonts w:cs="Arial"/>
          <w:sz w:val="20"/>
        </w:rPr>
        <w:t>.</w:t>
      </w:r>
      <w:proofErr w:type="gramEnd"/>
      <w:r w:rsidRPr="00372911">
        <w:rPr>
          <w:rFonts w:cs="Arial"/>
          <w:sz w:val="20"/>
        </w:rPr>
        <w:t xml:space="preserve">  New York: Cambridge University Press.</w:t>
      </w:r>
    </w:p>
    <w:p w:rsidR="00372911" w:rsidRPr="00372911" w:rsidRDefault="00372911" w:rsidP="00372911">
      <w:pPr>
        <w:ind w:left="720" w:hanging="720"/>
        <w:rPr>
          <w:rFonts w:cs="Arial"/>
          <w:sz w:val="20"/>
        </w:rPr>
      </w:pPr>
      <w:r w:rsidRPr="00372911">
        <w:rPr>
          <w:rFonts w:cs="Arial"/>
          <w:sz w:val="20"/>
        </w:rPr>
        <w:t xml:space="preserve">Mayer, R. E. (1980). Elaboration techniques that increase the meaningfulness of technical text: An experimental test of the learning strategy hypothesis. </w:t>
      </w:r>
      <w:r w:rsidRPr="00372911">
        <w:rPr>
          <w:rFonts w:cs="Arial"/>
          <w:i/>
          <w:sz w:val="20"/>
        </w:rPr>
        <w:t>Journal of Educational Psychology, 72</w:t>
      </w:r>
      <w:r w:rsidRPr="00372911">
        <w:rPr>
          <w:rFonts w:cs="Arial"/>
          <w:sz w:val="20"/>
        </w:rPr>
        <w:t xml:space="preserve">, 770-784. </w:t>
      </w:r>
    </w:p>
    <w:p w:rsidR="00372911" w:rsidRPr="00372911" w:rsidRDefault="00372911" w:rsidP="00372911">
      <w:pPr>
        <w:ind w:left="720" w:hanging="720"/>
        <w:rPr>
          <w:rFonts w:cs="Arial"/>
          <w:sz w:val="20"/>
        </w:rPr>
      </w:pPr>
      <w:r w:rsidRPr="00372911">
        <w:rPr>
          <w:rFonts w:cs="Arial"/>
          <w:sz w:val="20"/>
        </w:rPr>
        <w:t xml:space="preserve">Mayer, R. E. (2010). </w:t>
      </w:r>
      <w:proofErr w:type="gramStart"/>
      <w:r w:rsidRPr="00372911">
        <w:rPr>
          <w:rFonts w:cs="Arial"/>
          <w:sz w:val="20"/>
        </w:rPr>
        <w:t>Unique Contributions of Eye-Tracking Research to the Study of Learning with Graphics.</w:t>
      </w:r>
      <w:proofErr w:type="gramEnd"/>
      <w:r w:rsidRPr="00372911">
        <w:rPr>
          <w:rFonts w:cs="Arial"/>
          <w:sz w:val="20"/>
        </w:rPr>
        <w:t xml:space="preserve"> </w:t>
      </w:r>
      <w:r w:rsidRPr="00372911">
        <w:rPr>
          <w:rFonts w:cs="Arial"/>
          <w:i/>
          <w:sz w:val="20"/>
        </w:rPr>
        <w:t>Learning and Instruction, 20</w:t>
      </w:r>
      <w:r w:rsidRPr="00372911">
        <w:rPr>
          <w:rFonts w:cs="Arial"/>
          <w:sz w:val="20"/>
        </w:rPr>
        <w:t xml:space="preserve"> (2), 167-171.</w:t>
      </w:r>
    </w:p>
    <w:p w:rsidR="00372911" w:rsidRPr="00372911" w:rsidRDefault="00372911" w:rsidP="00372911">
      <w:pPr>
        <w:ind w:left="720" w:hanging="720"/>
        <w:rPr>
          <w:rFonts w:cs="Arial"/>
          <w:sz w:val="20"/>
        </w:rPr>
      </w:pPr>
      <w:proofErr w:type="spellStart"/>
      <w:r w:rsidRPr="00372911">
        <w:rPr>
          <w:rFonts w:cs="Arial"/>
          <w:sz w:val="20"/>
        </w:rPr>
        <w:t>McEachern</w:t>
      </w:r>
      <w:proofErr w:type="spellEnd"/>
      <w:r w:rsidRPr="00372911">
        <w:rPr>
          <w:rFonts w:cs="Arial"/>
          <w:sz w:val="20"/>
        </w:rPr>
        <w:t xml:space="preserve">, C.  (1998). Teaching historical reflection with a hyperlinked scrapbook. </w:t>
      </w:r>
      <w:r w:rsidRPr="00372911">
        <w:rPr>
          <w:rFonts w:cs="Arial"/>
          <w:i/>
          <w:sz w:val="20"/>
        </w:rPr>
        <w:t>Computer Review, 14</w:t>
      </w:r>
      <w:r w:rsidRPr="00372911">
        <w:rPr>
          <w:rFonts w:cs="Arial"/>
          <w:sz w:val="20"/>
        </w:rPr>
        <w:t>(1)</w:t>
      </w:r>
      <w:proofErr w:type="gramStart"/>
      <w:r w:rsidRPr="00372911">
        <w:rPr>
          <w:rFonts w:cs="Arial"/>
          <w:sz w:val="20"/>
        </w:rPr>
        <w:t>,17</w:t>
      </w:r>
      <w:proofErr w:type="gramEnd"/>
      <w:r w:rsidRPr="00372911">
        <w:rPr>
          <w:rFonts w:cs="Arial"/>
          <w:sz w:val="20"/>
        </w:rPr>
        <w:t>-28.</w:t>
      </w:r>
    </w:p>
    <w:p w:rsidR="00372911" w:rsidRPr="00372911" w:rsidRDefault="00372911" w:rsidP="00372911">
      <w:pPr>
        <w:ind w:left="720" w:hanging="720"/>
        <w:rPr>
          <w:rFonts w:cs="Arial"/>
          <w:sz w:val="20"/>
        </w:rPr>
      </w:pPr>
      <w:proofErr w:type="spellStart"/>
      <w:r w:rsidRPr="00372911">
        <w:rPr>
          <w:rFonts w:cs="Arial"/>
          <w:sz w:val="20"/>
        </w:rPr>
        <w:t>Melara</w:t>
      </w:r>
      <w:proofErr w:type="spellEnd"/>
      <w:r w:rsidRPr="00372911">
        <w:rPr>
          <w:rFonts w:cs="Arial"/>
          <w:sz w:val="20"/>
        </w:rPr>
        <w:t xml:space="preserve">, G. (1996).  </w:t>
      </w:r>
      <w:proofErr w:type="gramStart"/>
      <w:r w:rsidRPr="00372911">
        <w:rPr>
          <w:rFonts w:cs="Arial"/>
          <w:sz w:val="20"/>
        </w:rPr>
        <w:t>Investigating learning styles on different hypertext environments: Hierarchical-like and network-like structures.</w:t>
      </w:r>
      <w:proofErr w:type="gramEnd"/>
      <w:r w:rsidRPr="00372911">
        <w:rPr>
          <w:rFonts w:cs="Arial"/>
          <w:sz w:val="20"/>
        </w:rPr>
        <w:t xml:space="preserve">  </w:t>
      </w:r>
      <w:proofErr w:type="gramStart"/>
      <w:r w:rsidRPr="00372911">
        <w:rPr>
          <w:rFonts w:cs="Arial"/>
          <w:i/>
          <w:sz w:val="20"/>
        </w:rPr>
        <w:t>Journal of Computing Research, 14</w:t>
      </w:r>
      <w:r w:rsidRPr="00372911">
        <w:rPr>
          <w:rFonts w:cs="Arial"/>
          <w:sz w:val="20"/>
        </w:rPr>
        <w:t>(4), 313-328).</w:t>
      </w:r>
      <w:proofErr w:type="gramEnd"/>
    </w:p>
    <w:p w:rsidR="00372911" w:rsidRPr="00372911" w:rsidRDefault="00372911" w:rsidP="00372911">
      <w:pPr>
        <w:ind w:left="720" w:hanging="720"/>
        <w:rPr>
          <w:rFonts w:cs="Arial"/>
          <w:sz w:val="20"/>
        </w:rPr>
      </w:pPr>
      <w:proofErr w:type="spellStart"/>
      <w:proofErr w:type="gramStart"/>
      <w:r w:rsidRPr="00372911">
        <w:rPr>
          <w:rFonts w:cs="Arial"/>
          <w:sz w:val="20"/>
        </w:rPr>
        <w:t>Meyen</w:t>
      </w:r>
      <w:proofErr w:type="spellEnd"/>
      <w:r w:rsidRPr="00372911">
        <w:rPr>
          <w:rFonts w:cs="Arial"/>
          <w:sz w:val="20"/>
        </w:rPr>
        <w:t xml:space="preserve">, E. L., </w:t>
      </w:r>
      <w:proofErr w:type="spellStart"/>
      <w:r w:rsidRPr="00372911">
        <w:rPr>
          <w:rFonts w:cs="Arial"/>
          <w:sz w:val="20"/>
        </w:rPr>
        <w:t>Vergason</w:t>
      </w:r>
      <w:proofErr w:type="spellEnd"/>
      <w:r w:rsidRPr="00372911">
        <w:rPr>
          <w:rFonts w:cs="Arial"/>
          <w:sz w:val="20"/>
        </w:rPr>
        <w:t>, G. A. &amp; Whelan, R. J. (1996).</w:t>
      </w:r>
      <w:proofErr w:type="gramEnd"/>
      <w:r w:rsidRPr="00372911">
        <w:rPr>
          <w:rFonts w:cs="Arial"/>
          <w:sz w:val="20"/>
        </w:rPr>
        <w:t xml:space="preserve"> </w:t>
      </w:r>
      <w:proofErr w:type="gramStart"/>
      <w:r w:rsidRPr="00372911">
        <w:rPr>
          <w:rFonts w:cs="Arial"/>
          <w:i/>
          <w:sz w:val="20"/>
        </w:rPr>
        <w:t>Strategies for teaching exceptional children in inclusive settings</w:t>
      </w:r>
      <w:r w:rsidRPr="00372911">
        <w:rPr>
          <w:rFonts w:cs="Arial"/>
          <w:sz w:val="20"/>
        </w:rPr>
        <w:t>.</w:t>
      </w:r>
      <w:proofErr w:type="gramEnd"/>
      <w:r w:rsidRPr="00372911">
        <w:rPr>
          <w:rFonts w:cs="Arial"/>
          <w:sz w:val="20"/>
        </w:rPr>
        <w:t xml:space="preserve"> Denver, CO: Love.</w:t>
      </w:r>
    </w:p>
    <w:p w:rsidR="00372911" w:rsidRPr="00372911" w:rsidRDefault="00372911" w:rsidP="00372911">
      <w:pPr>
        <w:ind w:left="720" w:hanging="720"/>
        <w:rPr>
          <w:rFonts w:cs="Arial"/>
          <w:sz w:val="20"/>
        </w:rPr>
      </w:pPr>
      <w:proofErr w:type="spellStart"/>
      <w:r w:rsidRPr="00372911">
        <w:rPr>
          <w:rFonts w:cs="Arial"/>
          <w:sz w:val="20"/>
        </w:rPr>
        <w:t>Mizell</w:t>
      </w:r>
      <w:proofErr w:type="spellEnd"/>
      <w:r w:rsidRPr="00372911">
        <w:rPr>
          <w:rFonts w:cs="Arial"/>
          <w:sz w:val="20"/>
        </w:rPr>
        <w:t xml:space="preserve">, A. P., Lever, J. C. (1990).  </w:t>
      </w:r>
      <w:proofErr w:type="gramStart"/>
      <w:r w:rsidRPr="00372911">
        <w:rPr>
          <w:rFonts w:cs="Arial"/>
          <w:sz w:val="20"/>
        </w:rPr>
        <w:t>Accommodating learning styles through hypermedia.</w:t>
      </w:r>
      <w:proofErr w:type="gramEnd"/>
      <w:r w:rsidRPr="00372911">
        <w:rPr>
          <w:rFonts w:cs="Arial"/>
          <w:sz w:val="20"/>
        </w:rPr>
        <w:t xml:space="preserve"> </w:t>
      </w:r>
      <w:r w:rsidRPr="00372911">
        <w:rPr>
          <w:rFonts w:cs="Arial"/>
          <w:i/>
          <w:sz w:val="20"/>
        </w:rPr>
        <w:t>Proceedings of the Technology in Teacher Education Conference</w:t>
      </w:r>
      <w:r w:rsidRPr="00372911">
        <w:rPr>
          <w:rFonts w:cs="Arial"/>
          <w:sz w:val="20"/>
        </w:rPr>
        <w:t xml:space="preserve">, Orlando, FL. </w:t>
      </w:r>
      <w:r w:rsidRPr="00372911">
        <w:rPr>
          <w:rFonts w:cs="Arial"/>
          <w:bCs/>
          <w:sz w:val="20"/>
        </w:rPr>
        <w:t xml:space="preserve">(ERIC Document Reproduction Service No. </w:t>
      </w:r>
      <w:r w:rsidRPr="00372911">
        <w:rPr>
          <w:rFonts w:cs="Arial"/>
          <w:sz w:val="20"/>
        </w:rPr>
        <w:t>372 745)</w:t>
      </w:r>
    </w:p>
    <w:p w:rsidR="00372911" w:rsidRPr="00372911" w:rsidRDefault="00372911" w:rsidP="00372911">
      <w:pPr>
        <w:ind w:left="720" w:hanging="720"/>
        <w:rPr>
          <w:rFonts w:cs="Arial"/>
          <w:sz w:val="20"/>
        </w:rPr>
      </w:pPr>
      <w:proofErr w:type="spellStart"/>
      <w:r w:rsidRPr="00372911">
        <w:rPr>
          <w:rFonts w:cs="Arial"/>
          <w:sz w:val="20"/>
        </w:rPr>
        <w:t>Mualem</w:t>
      </w:r>
      <w:proofErr w:type="spellEnd"/>
      <w:r w:rsidRPr="00372911">
        <w:rPr>
          <w:rFonts w:cs="Arial"/>
          <w:sz w:val="20"/>
        </w:rPr>
        <w:t xml:space="preserve">, R., </w:t>
      </w:r>
      <w:proofErr w:type="spellStart"/>
      <w:r w:rsidRPr="00372911">
        <w:rPr>
          <w:rFonts w:cs="Arial"/>
          <w:sz w:val="20"/>
        </w:rPr>
        <w:t>Eylon</w:t>
      </w:r>
      <w:proofErr w:type="spellEnd"/>
      <w:r w:rsidRPr="00372911">
        <w:rPr>
          <w:rFonts w:cs="Arial"/>
          <w:sz w:val="20"/>
        </w:rPr>
        <w:t xml:space="preserve">, B. S.  (2010). Junior High School Physics: Using a Qualitative Strategy for Successful Problem Solving. </w:t>
      </w:r>
      <w:r w:rsidRPr="00372911">
        <w:rPr>
          <w:rFonts w:cs="Arial"/>
          <w:i/>
          <w:sz w:val="20"/>
        </w:rPr>
        <w:t>Journal of Research in Science Teaching, 47</w:t>
      </w:r>
      <w:r w:rsidRPr="00372911">
        <w:rPr>
          <w:rFonts w:cs="Arial"/>
          <w:sz w:val="20"/>
        </w:rPr>
        <w:t>(9), 1094-1115.</w:t>
      </w:r>
    </w:p>
    <w:p w:rsidR="00372911" w:rsidRPr="00372911" w:rsidRDefault="00372911" w:rsidP="00372911">
      <w:pPr>
        <w:ind w:left="720" w:hanging="720"/>
        <w:rPr>
          <w:rFonts w:cs="Arial"/>
          <w:sz w:val="20"/>
        </w:rPr>
      </w:pPr>
      <w:proofErr w:type="spellStart"/>
      <w:r w:rsidRPr="00372911">
        <w:rPr>
          <w:rFonts w:cs="Arial"/>
          <w:sz w:val="20"/>
        </w:rPr>
        <w:t>Najjar</w:t>
      </w:r>
      <w:proofErr w:type="spellEnd"/>
      <w:r w:rsidRPr="00372911">
        <w:rPr>
          <w:rFonts w:cs="Arial"/>
          <w:sz w:val="20"/>
        </w:rPr>
        <w:t xml:space="preserve">, L.J. (1998). Principles of educational multimedia user interface design. </w:t>
      </w:r>
      <w:r w:rsidRPr="00372911">
        <w:rPr>
          <w:rFonts w:cs="Arial"/>
          <w:i/>
          <w:sz w:val="20"/>
        </w:rPr>
        <w:t>Human Factors, 40</w:t>
      </w:r>
      <w:r w:rsidRPr="00372911">
        <w:rPr>
          <w:rFonts w:cs="Arial"/>
          <w:sz w:val="20"/>
        </w:rPr>
        <w:t>, 311-323.</w:t>
      </w:r>
    </w:p>
    <w:p w:rsidR="00372911" w:rsidRPr="00372911" w:rsidRDefault="00372911" w:rsidP="00372911">
      <w:pPr>
        <w:ind w:left="720" w:hanging="720"/>
        <w:rPr>
          <w:rFonts w:cs="Arial"/>
          <w:sz w:val="20"/>
        </w:rPr>
      </w:pPr>
      <w:proofErr w:type="spellStart"/>
      <w:proofErr w:type="gramStart"/>
      <w:r w:rsidRPr="00372911">
        <w:rPr>
          <w:rFonts w:cs="Arial"/>
          <w:sz w:val="20"/>
        </w:rPr>
        <w:t>Naveh</w:t>
      </w:r>
      <w:proofErr w:type="spellEnd"/>
      <w:r w:rsidRPr="00372911">
        <w:rPr>
          <w:rFonts w:cs="Arial"/>
          <w:sz w:val="20"/>
        </w:rPr>
        <w:t xml:space="preserve">-Benjamin, M., </w:t>
      </w:r>
      <w:proofErr w:type="spellStart"/>
      <w:r w:rsidRPr="00372911">
        <w:rPr>
          <w:rFonts w:cs="Arial"/>
          <w:sz w:val="20"/>
        </w:rPr>
        <w:t>McKeachie</w:t>
      </w:r>
      <w:proofErr w:type="spellEnd"/>
      <w:r w:rsidRPr="00372911">
        <w:rPr>
          <w:rFonts w:cs="Arial"/>
          <w:sz w:val="20"/>
        </w:rPr>
        <w:t>, W. J., Lin, Y., and Tucker, D. G. (1986).</w:t>
      </w:r>
      <w:proofErr w:type="gramEnd"/>
      <w:r w:rsidRPr="00372911">
        <w:rPr>
          <w:rFonts w:cs="Arial"/>
          <w:sz w:val="20"/>
        </w:rPr>
        <w:t xml:space="preserve"> Inferring </w:t>
      </w:r>
      <w:proofErr w:type="gramStart"/>
      <w:r w:rsidRPr="00372911">
        <w:rPr>
          <w:rFonts w:cs="Arial"/>
          <w:sz w:val="20"/>
        </w:rPr>
        <w:t>students</w:t>
      </w:r>
      <w:proofErr w:type="gramEnd"/>
      <w:r w:rsidRPr="00372911">
        <w:rPr>
          <w:rFonts w:cs="Arial"/>
          <w:sz w:val="20"/>
        </w:rPr>
        <w:t xml:space="preserve"> cognitive structures and their development using the “Ordered Tree Technique.” </w:t>
      </w:r>
      <w:proofErr w:type="gramStart"/>
      <w:r w:rsidRPr="00372911">
        <w:rPr>
          <w:rFonts w:cs="Arial"/>
          <w:i/>
          <w:sz w:val="20"/>
        </w:rPr>
        <w:t>Journal of Educational Psychology, 78</w:t>
      </w:r>
      <w:r w:rsidRPr="00372911">
        <w:rPr>
          <w:rFonts w:cs="Arial"/>
          <w:sz w:val="20"/>
        </w:rPr>
        <w:t>,130-140.</w:t>
      </w:r>
      <w:proofErr w:type="gramEnd"/>
    </w:p>
    <w:p w:rsidR="00372911" w:rsidRPr="00372911" w:rsidRDefault="00372911" w:rsidP="00372911">
      <w:pPr>
        <w:ind w:left="720" w:hanging="720"/>
        <w:rPr>
          <w:rFonts w:cs="Arial"/>
          <w:sz w:val="20"/>
        </w:rPr>
      </w:pPr>
      <w:proofErr w:type="gramStart"/>
      <w:r w:rsidRPr="00372911">
        <w:rPr>
          <w:rFonts w:cs="Arial"/>
          <w:sz w:val="20"/>
        </w:rPr>
        <w:t>Nelson, W. A. &amp; Palumbo, D. B. (1992).</w:t>
      </w:r>
      <w:proofErr w:type="gramEnd"/>
      <w:r w:rsidRPr="00372911">
        <w:rPr>
          <w:rFonts w:cs="Arial"/>
          <w:sz w:val="20"/>
        </w:rPr>
        <w:t xml:space="preserve">  </w:t>
      </w:r>
      <w:proofErr w:type="gramStart"/>
      <w:r w:rsidRPr="00372911">
        <w:rPr>
          <w:rFonts w:cs="Arial"/>
          <w:sz w:val="20"/>
        </w:rPr>
        <w:t>Learning, instruction, and hypermedia.</w:t>
      </w:r>
      <w:proofErr w:type="gramEnd"/>
      <w:r w:rsidRPr="00372911">
        <w:rPr>
          <w:rFonts w:cs="Arial"/>
          <w:sz w:val="20"/>
        </w:rPr>
        <w:t xml:space="preserve">  </w:t>
      </w:r>
      <w:r w:rsidRPr="00372911">
        <w:rPr>
          <w:rFonts w:cs="Arial"/>
          <w:i/>
          <w:sz w:val="20"/>
        </w:rPr>
        <w:t>Journal of Educational Multimedia and Hypermedia, 1</w:t>
      </w:r>
      <w:r w:rsidRPr="00372911">
        <w:rPr>
          <w:rFonts w:cs="Arial"/>
          <w:sz w:val="20"/>
        </w:rPr>
        <w:t>(3), 287-299.</w:t>
      </w:r>
    </w:p>
    <w:p w:rsidR="00372911" w:rsidRPr="00372911" w:rsidRDefault="00372911" w:rsidP="00372911">
      <w:pPr>
        <w:ind w:left="720" w:hanging="720"/>
        <w:rPr>
          <w:rFonts w:cs="Arial"/>
          <w:sz w:val="20"/>
        </w:rPr>
      </w:pPr>
      <w:proofErr w:type="gramStart"/>
      <w:r w:rsidRPr="00372911">
        <w:rPr>
          <w:rFonts w:cs="Arial"/>
          <w:sz w:val="20"/>
        </w:rPr>
        <w:t xml:space="preserve">Nelson, W. A., </w:t>
      </w:r>
      <w:proofErr w:type="spellStart"/>
      <w:r w:rsidRPr="00372911">
        <w:rPr>
          <w:rFonts w:cs="Arial"/>
          <w:sz w:val="20"/>
        </w:rPr>
        <w:t>Wellings</w:t>
      </w:r>
      <w:proofErr w:type="spellEnd"/>
      <w:r w:rsidRPr="00372911">
        <w:rPr>
          <w:rFonts w:cs="Arial"/>
          <w:sz w:val="20"/>
        </w:rPr>
        <w:t xml:space="preserve">, P., Palumbo, D., </w:t>
      </w:r>
      <w:proofErr w:type="spellStart"/>
      <w:r w:rsidRPr="00372911">
        <w:rPr>
          <w:rFonts w:cs="Arial"/>
          <w:sz w:val="20"/>
        </w:rPr>
        <w:t>Gupton</w:t>
      </w:r>
      <w:proofErr w:type="spellEnd"/>
      <w:r w:rsidRPr="00372911">
        <w:rPr>
          <w:rFonts w:cs="Arial"/>
          <w:sz w:val="20"/>
        </w:rPr>
        <w:t>, C. (2001).</w:t>
      </w:r>
      <w:proofErr w:type="gramEnd"/>
      <w:r w:rsidRPr="00372911">
        <w:rPr>
          <w:rFonts w:cs="Arial"/>
          <w:sz w:val="20"/>
        </w:rPr>
        <w:t xml:space="preserve"> </w:t>
      </w:r>
      <w:proofErr w:type="gramStart"/>
      <w:r w:rsidRPr="00372911">
        <w:rPr>
          <w:rFonts w:cs="Arial"/>
          <w:i/>
          <w:sz w:val="20"/>
        </w:rPr>
        <w:t>Combining Technology and Narrative in a Learning Environment for Workplace Training</w:t>
      </w:r>
      <w:r w:rsidRPr="00372911">
        <w:rPr>
          <w:rFonts w:cs="Arial"/>
          <w:sz w:val="20"/>
        </w:rPr>
        <w:t>.</w:t>
      </w:r>
      <w:proofErr w:type="gramEnd"/>
      <w:r w:rsidRPr="00372911">
        <w:rPr>
          <w:rFonts w:cs="Arial"/>
          <w:sz w:val="20"/>
        </w:rPr>
        <w:t xml:space="preserve">  </w:t>
      </w:r>
      <w:proofErr w:type="gramStart"/>
      <w:r w:rsidRPr="00372911">
        <w:rPr>
          <w:rFonts w:cs="Arial"/>
          <w:sz w:val="20"/>
        </w:rPr>
        <w:t>(ERIC Document Reproduction Service No.</w:t>
      </w:r>
      <w:proofErr w:type="gramEnd"/>
      <w:r w:rsidRPr="00372911">
        <w:rPr>
          <w:rFonts w:cs="Arial"/>
          <w:sz w:val="20"/>
        </w:rPr>
        <w:t xml:space="preserve"> ED453807)</w:t>
      </w:r>
    </w:p>
    <w:p w:rsidR="00372911" w:rsidRPr="00372911" w:rsidRDefault="00372911" w:rsidP="00372911">
      <w:pPr>
        <w:ind w:left="720" w:hanging="720"/>
        <w:rPr>
          <w:rFonts w:cs="Arial"/>
          <w:sz w:val="20"/>
        </w:rPr>
      </w:pPr>
      <w:proofErr w:type="gramStart"/>
      <w:r w:rsidRPr="00372911">
        <w:rPr>
          <w:rFonts w:cs="Arial"/>
          <w:sz w:val="20"/>
        </w:rPr>
        <w:t>Norman, H.G., &amp; Schmidt G.R. (2000).</w:t>
      </w:r>
      <w:proofErr w:type="gramEnd"/>
      <w:r w:rsidRPr="00372911">
        <w:rPr>
          <w:rFonts w:cs="Arial"/>
          <w:sz w:val="20"/>
        </w:rPr>
        <w:t xml:space="preserve"> Effectiveness of problem-based learning curricula: Theory, practice and paper darts. </w:t>
      </w:r>
      <w:r w:rsidRPr="00372911">
        <w:rPr>
          <w:rFonts w:cs="Arial"/>
          <w:i/>
          <w:sz w:val="20"/>
        </w:rPr>
        <w:t>Medical Education, 34</w:t>
      </w:r>
      <w:r w:rsidRPr="00372911">
        <w:rPr>
          <w:rFonts w:cs="Arial"/>
          <w:sz w:val="20"/>
        </w:rPr>
        <w:t>(9), 721-728.</w:t>
      </w:r>
    </w:p>
    <w:p w:rsidR="00372911" w:rsidRPr="00372911" w:rsidRDefault="00372911" w:rsidP="00372911">
      <w:pPr>
        <w:ind w:left="720" w:hanging="720"/>
        <w:rPr>
          <w:rFonts w:cs="Arial"/>
          <w:sz w:val="20"/>
        </w:rPr>
      </w:pPr>
      <w:r w:rsidRPr="00372911">
        <w:rPr>
          <w:rFonts w:cs="Arial"/>
          <w:sz w:val="20"/>
        </w:rPr>
        <w:t xml:space="preserve">Novak, J.D. (1980) Learning theory applied to the biology classroom. </w:t>
      </w:r>
      <w:r w:rsidRPr="00372911">
        <w:rPr>
          <w:rFonts w:cs="Arial"/>
          <w:i/>
          <w:sz w:val="20"/>
        </w:rPr>
        <w:t>American Biology Teacher 42</w:t>
      </w:r>
      <w:r w:rsidRPr="00372911">
        <w:rPr>
          <w:rFonts w:cs="Arial"/>
          <w:sz w:val="20"/>
        </w:rPr>
        <w:t>(5), pp. 280-285.</w:t>
      </w:r>
    </w:p>
    <w:p w:rsidR="00372911" w:rsidRPr="00372911" w:rsidRDefault="00372911" w:rsidP="00372911">
      <w:pPr>
        <w:ind w:left="720" w:hanging="720"/>
        <w:rPr>
          <w:rFonts w:cs="Arial"/>
          <w:sz w:val="20"/>
        </w:rPr>
      </w:pPr>
      <w:r w:rsidRPr="00372911">
        <w:rPr>
          <w:rFonts w:cs="Arial"/>
          <w:sz w:val="20"/>
        </w:rPr>
        <w:t xml:space="preserve">Novak, J. D. (1990a).  Concept maps and </w:t>
      </w:r>
      <w:proofErr w:type="spellStart"/>
      <w:r w:rsidRPr="00372911">
        <w:rPr>
          <w:rFonts w:cs="Arial"/>
          <w:sz w:val="20"/>
        </w:rPr>
        <w:t>Vee</w:t>
      </w:r>
      <w:proofErr w:type="spellEnd"/>
      <w:r w:rsidRPr="00372911">
        <w:rPr>
          <w:rFonts w:cs="Arial"/>
          <w:sz w:val="20"/>
        </w:rPr>
        <w:t xml:space="preserve"> diagrams: Two metacognitive tools to facilitate meaningful learning. </w:t>
      </w:r>
      <w:r w:rsidRPr="00372911">
        <w:rPr>
          <w:rFonts w:cs="Arial"/>
          <w:i/>
          <w:sz w:val="20"/>
        </w:rPr>
        <w:t>Instructional Science, 19</w:t>
      </w:r>
      <w:r w:rsidRPr="00372911">
        <w:rPr>
          <w:rFonts w:cs="Arial"/>
          <w:sz w:val="20"/>
        </w:rPr>
        <w:t>, 29-52.</w:t>
      </w:r>
    </w:p>
    <w:p w:rsidR="00372911" w:rsidRPr="00372911" w:rsidRDefault="00372911" w:rsidP="00372911">
      <w:pPr>
        <w:ind w:left="720" w:hanging="720"/>
        <w:rPr>
          <w:rFonts w:cs="Arial"/>
          <w:sz w:val="20"/>
        </w:rPr>
      </w:pPr>
      <w:r w:rsidRPr="00372911">
        <w:rPr>
          <w:rFonts w:cs="Arial"/>
          <w:sz w:val="20"/>
        </w:rPr>
        <w:t xml:space="preserve">Novak, J. D. (1990b).  Concept mapping: A useful tool in science education.  </w:t>
      </w:r>
      <w:r w:rsidRPr="00372911">
        <w:rPr>
          <w:rFonts w:cs="Arial"/>
          <w:i/>
          <w:sz w:val="20"/>
        </w:rPr>
        <w:t>Journal of Research in Science Teaching, 27</w:t>
      </w:r>
      <w:r w:rsidRPr="00372911">
        <w:rPr>
          <w:rFonts w:cs="Arial"/>
          <w:sz w:val="20"/>
        </w:rPr>
        <w:t>(10), 1012-1028.</w:t>
      </w:r>
    </w:p>
    <w:p w:rsidR="00372911" w:rsidRPr="00372911" w:rsidRDefault="00372911" w:rsidP="00372911">
      <w:pPr>
        <w:ind w:left="720" w:hanging="720"/>
        <w:rPr>
          <w:rFonts w:cs="Arial"/>
          <w:sz w:val="20"/>
        </w:rPr>
      </w:pPr>
      <w:r w:rsidRPr="00372911">
        <w:rPr>
          <w:rFonts w:cs="Arial"/>
          <w:sz w:val="20"/>
        </w:rPr>
        <w:t xml:space="preserve">Novak, J. D. (1996). Concept mapping: A tool for improving science teaching and learning. In. D. F. </w:t>
      </w:r>
      <w:proofErr w:type="spellStart"/>
      <w:r w:rsidRPr="00372911">
        <w:rPr>
          <w:rFonts w:cs="Arial"/>
          <w:sz w:val="20"/>
        </w:rPr>
        <w:t>Treagust</w:t>
      </w:r>
      <w:proofErr w:type="spellEnd"/>
      <w:r w:rsidRPr="00372911">
        <w:rPr>
          <w:rFonts w:cs="Arial"/>
          <w:sz w:val="20"/>
        </w:rPr>
        <w:t xml:space="preserve">, R. </w:t>
      </w:r>
      <w:proofErr w:type="spellStart"/>
      <w:r w:rsidRPr="00372911">
        <w:rPr>
          <w:rFonts w:cs="Arial"/>
          <w:sz w:val="20"/>
        </w:rPr>
        <w:t>Duit</w:t>
      </w:r>
      <w:proofErr w:type="spellEnd"/>
      <w:r w:rsidRPr="00372911">
        <w:rPr>
          <w:rFonts w:cs="Arial"/>
          <w:sz w:val="20"/>
        </w:rPr>
        <w:t>, B. J. Fraser (Eds</w:t>
      </w:r>
      <w:r w:rsidRPr="00372911">
        <w:rPr>
          <w:rFonts w:cs="Arial"/>
          <w:i/>
          <w:iCs/>
          <w:sz w:val="20"/>
        </w:rPr>
        <w:t>.), Improving Teaching and Learning in Science and Mathematics</w:t>
      </w:r>
      <w:r w:rsidRPr="00372911">
        <w:rPr>
          <w:rFonts w:cs="Arial"/>
          <w:sz w:val="20"/>
        </w:rPr>
        <w:t xml:space="preserve"> (pp. 32-43). New York: Teachers College Press.</w:t>
      </w:r>
    </w:p>
    <w:p w:rsidR="00372911" w:rsidRPr="00372911" w:rsidRDefault="00372911" w:rsidP="00372911">
      <w:pPr>
        <w:ind w:left="720" w:hanging="720"/>
        <w:rPr>
          <w:rFonts w:cs="Arial"/>
          <w:sz w:val="20"/>
        </w:rPr>
      </w:pPr>
      <w:proofErr w:type="gramStart"/>
      <w:r w:rsidRPr="00372911">
        <w:rPr>
          <w:rFonts w:cs="Arial"/>
          <w:sz w:val="20"/>
        </w:rPr>
        <w:t xml:space="preserve">Novak, J. &amp; </w:t>
      </w:r>
      <w:proofErr w:type="spellStart"/>
      <w:r w:rsidRPr="00372911">
        <w:rPr>
          <w:rFonts w:cs="Arial"/>
          <w:sz w:val="20"/>
        </w:rPr>
        <w:t>Gowin</w:t>
      </w:r>
      <w:proofErr w:type="spellEnd"/>
      <w:r w:rsidRPr="00372911">
        <w:rPr>
          <w:rFonts w:cs="Arial"/>
          <w:sz w:val="20"/>
        </w:rPr>
        <w:t>, B., (1995).</w:t>
      </w:r>
      <w:proofErr w:type="gramEnd"/>
      <w:r w:rsidRPr="00372911">
        <w:rPr>
          <w:rFonts w:cs="Arial"/>
          <w:sz w:val="20"/>
        </w:rPr>
        <w:t xml:space="preserve">  </w:t>
      </w:r>
      <w:proofErr w:type="gramStart"/>
      <w:r w:rsidRPr="00372911">
        <w:rPr>
          <w:rFonts w:cs="Arial"/>
          <w:i/>
          <w:sz w:val="20"/>
        </w:rPr>
        <w:t>Learning how to learn</w:t>
      </w:r>
      <w:r w:rsidRPr="00372911">
        <w:rPr>
          <w:rFonts w:cs="Arial"/>
          <w:sz w:val="20"/>
        </w:rPr>
        <w:t>.</w:t>
      </w:r>
      <w:proofErr w:type="gramEnd"/>
      <w:r w:rsidRPr="00372911">
        <w:rPr>
          <w:rFonts w:cs="Arial"/>
          <w:sz w:val="20"/>
        </w:rPr>
        <w:t xml:space="preserve">  Cambridge: University Press. </w:t>
      </w:r>
    </w:p>
    <w:p w:rsidR="00372911" w:rsidRPr="00372911" w:rsidRDefault="00372911" w:rsidP="00372911">
      <w:pPr>
        <w:ind w:left="720" w:hanging="720"/>
        <w:rPr>
          <w:rFonts w:cs="Arial"/>
          <w:sz w:val="20"/>
        </w:rPr>
      </w:pPr>
      <w:proofErr w:type="gramStart"/>
      <w:r w:rsidRPr="00372911">
        <w:rPr>
          <w:rFonts w:cs="Arial"/>
          <w:sz w:val="20"/>
        </w:rPr>
        <w:t xml:space="preserve">Novak, J. D., &amp; </w:t>
      </w:r>
      <w:proofErr w:type="spellStart"/>
      <w:r w:rsidRPr="00372911">
        <w:rPr>
          <w:rFonts w:cs="Arial"/>
          <w:sz w:val="20"/>
        </w:rPr>
        <w:t>Musonda</w:t>
      </w:r>
      <w:proofErr w:type="spellEnd"/>
      <w:r w:rsidRPr="00372911">
        <w:rPr>
          <w:rFonts w:cs="Arial"/>
          <w:sz w:val="20"/>
        </w:rPr>
        <w:t>, D. (1991).</w:t>
      </w:r>
      <w:proofErr w:type="gramEnd"/>
      <w:r w:rsidRPr="00372911">
        <w:rPr>
          <w:rFonts w:cs="Arial"/>
          <w:sz w:val="20"/>
        </w:rPr>
        <w:t xml:space="preserve"> </w:t>
      </w:r>
      <w:proofErr w:type="gramStart"/>
      <w:r w:rsidRPr="00372911">
        <w:rPr>
          <w:rFonts w:cs="Arial"/>
          <w:sz w:val="20"/>
        </w:rPr>
        <w:t>A twelve-year longitudinal study of science concept learning.</w:t>
      </w:r>
      <w:proofErr w:type="gramEnd"/>
      <w:r w:rsidRPr="00372911">
        <w:rPr>
          <w:rFonts w:cs="Arial"/>
          <w:sz w:val="20"/>
        </w:rPr>
        <w:t xml:space="preserve"> </w:t>
      </w:r>
      <w:r w:rsidRPr="00372911">
        <w:rPr>
          <w:rFonts w:cs="Arial"/>
          <w:i/>
          <w:sz w:val="20"/>
        </w:rPr>
        <w:t>American Educational Research Journal, 28</w:t>
      </w:r>
      <w:r w:rsidRPr="00372911">
        <w:rPr>
          <w:rFonts w:cs="Arial"/>
          <w:sz w:val="20"/>
        </w:rPr>
        <w:t>(1), 117-153.</w:t>
      </w:r>
    </w:p>
    <w:p w:rsidR="00372911" w:rsidRPr="00372911" w:rsidRDefault="00372911" w:rsidP="00372911">
      <w:pPr>
        <w:ind w:left="720" w:hanging="720"/>
        <w:rPr>
          <w:rFonts w:cs="Arial"/>
          <w:sz w:val="20"/>
        </w:rPr>
      </w:pPr>
      <w:proofErr w:type="spellStart"/>
      <w:proofErr w:type="gramStart"/>
      <w:r w:rsidRPr="00372911">
        <w:rPr>
          <w:rFonts w:cs="Arial"/>
          <w:sz w:val="20"/>
        </w:rPr>
        <w:t>Osmasta</w:t>
      </w:r>
      <w:proofErr w:type="spellEnd"/>
      <w:r w:rsidRPr="00372911">
        <w:rPr>
          <w:rFonts w:cs="Arial"/>
          <w:sz w:val="20"/>
        </w:rPr>
        <w:t xml:space="preserve">, E., &amp; </w:t>
      </w:r>
      <w:proofErr w:type="spellStart"/>
      <w:r w:rsidRPr="00372911">
        <w:rPr>
          <w:rFonts w:cs="Arial"/>
          <w:sz w:val="20"/>
        </w:rPr>
        <w:t>Lunetta</w:t>
      </w:r>
      <w:proofErr w:type="spellEnd"/>
      <w:r w:rsidRPr="00372911">
        <w:rPr>
          <w:rFonts w:cs="Arial"/>
          <w:sz w:val="20"/>
        </w:rPr>
        <w:t>, V.N. (1988).</w:t>
      </w:r>
      <w:proofErr w:type="gramEnd"/>
      <w:r w:rsidRPr="00372911">
        <w:rPr>
          <w:rFonts w:cs="Arial"/>
          <w:sz w:val="20"/>
        </w:rPr>
        <w:t xml:space="preserve"> </w:t>
      </w:r>
      <w:proofErr w:type="gramStart"/>
      <w:r w:rsidRPr="00372911">
        <w:rPr>
          <w:rFonts w:cs="Arial"/>
          <w:sz w:val="20"/>
        </w:rPr>
        <w:t>Exploring functions: A strategy for teaching physics concepts and problem-solving.</w:t>
      </w:r>
      <w:proofErr w:type="gramEnd"/>
      <w:r w:rsidRPr="00372911">
        <w:rPr>
          <w:rFonts w:cs="Arial"/>
          <w:sz w:val="20"/>
        </w:rPr>
        <w:t xml:space="preserve"> </w:t>
      </w:r>
      <w:r w:rsidRPr="00372911">
        <w:rPr>
          <w:rFonts w:cs="Arial"/>
          <w:i/>
          <w:sz w:val="20"/>
        </w:rPr>
        <w:t>Science Education, 72</w:t>
      </w:r>
      <w:r w:rsidRPr="00372911">
        <w:rPr>
          <w:rFonts w:cs="Arial"/>
          <w:sz w:val="20"/>
        </w:rPr>
        <w:t>(5), 625-636.</w:t>
      </w:r>
    </w:p>
    <w:p w:rsidR="00372911" w:rsidRPr="00372911" w:rsidRDefault="00372911" w:rsidP="00372911">
      <w:pPr>
        <w:ind w:left="720" w:hanging="720"/>
        <w:rPr>
          <w:rFonts w:cs="Arial"/>
          <w:sz w:val="20"/>
        </w:rPr>
      </w:pPr>
      <w:proofErr w:type="spellStart"/>
      <w:r w:rsidRPr="00372911">
        <w:rPr>
          <w:rFonts w:cs="Arial"/>
          <w:sz w:val="20"/>
        </w:rPr>
        <w:t>Ozmen</w:t>
      </w:r>
      <w:proofErr w:type="spellEnd"/>
      <w:r w:rsidRPr="00372911">
        <w:rPr>
          <w:rFonts w:cs="Arial"/>
          <w:sz w:val="20"/>
        </w:rPr>
        <w:t xml:space="preserve">, R. G. (2011). </w:t>
      </w:r>
      <w:proofErr w:type="gramStart"/>
      <w:r w:rsidRPr="00372911">
        <w:rPr>
          <w:rFonts w:cs="Arial"/>
          <w:sz w:val="20"/>
        </w:rPr>
        <w:t>Comparison of two different presentations of graphic organizers in recalling information in expository texts with intellectually disabled students.</w:t>
      </w:r>
      <w:proofErr w:type="gramEnd"/>
      <w:r w:rsidRPr="00372911">
        <w:rPr>
          <w:rFonts w:cs="Arial"/>
          <w:sz w:val="20"/>
        </w:rPr>
        <w:t xml:space="preserve"> Educational Sciences: </w:t>
      </w:r>
      <w:r w:rsidRPr="00372911">
        <w:rPr>
          <w:rFonts w:cs="Arial"/>
          <w:i/>
          <w:sz w:val="20"/>
        </w:rPr>
        <w:t>Theory and Practice, 11</w:t>
      </w:r>
      <w:r w:rsidRPr="00372911">
        <w:rPr>
          <w:rFonts w:cs="Arial"/>
          <w:sz w:val="20"/>
        </w:rPr>
        <w:t xml:space="preserve">(2), 785-793. </w:t>
      </w:r>
    </w:p>
    <w:p w:rsidR="00372911" w:rsidRPr="00372911" w:rsidRDefault="00372911" w:rsidP="00372911">
      <w:pPr>
        <w:ind w:left="720" w:hanging="720"/>
        <w:rPr>
          <w:rFonts w:cs="Arial"/>
          <w:sz w:val="20"/>
        </w:rPr>
      </w:pPr>
      <w:proofErr w:type="gramStart"/>
      <w:r w:rsidRPr="00372911">
        <w:rPr>
          <w:rFonts w:cs="Arial"/>
          <w:sz w:val="20"/>
        </w:rPr>
        <w:t>Palumbo, D., &amp; Bermudez, A. (1994).</w:t>
      </w:r>
      <w:proofErr w:type="gramEnd"/>
      <w:r w:rsidRPr="00372911">
        <w:rPr>
          <w:rFonts w:cs="Arial"/>
          <w:sz w:val="20"/>
        </w:rPr>
        <w:t xml:space="preserve">  </w:t>
      </w:r>
      <w:proofErr w:type="gramStart"/>
      <w:r w:rsidRPr="00372911">
        <w:rPr>
          <w:rFonts w:cs="Arial"/>
          <w:sz w:val="20"/>
        </w:rPr>
        <w:t>Using hypermedia to assist language minority learners in achieving academic success.</w:t>
      </w:r>
      <w:proofErr w:type="gramEnd"/>
      <w:r w:rsidRPr="00372911">
        <w:rPr>
          <w:rFonts w:cs="Arial"/>
          <w:sz w:val="20"/>
        </w:rPr>
        <w:t xml:space="preserve">  </w:t>
      </w:r>
      <w:r w:rsidRPr="00372911">
        <w:rPr>
          <w:rFonts w:cs="Arial"/>
          <w:i/>
          <w:sz w:val="20"/>
        </w:rPr>
        <w:t>Computers in the Schools, 10</w:t>
      </w:r>
      <w:r w:rsidRPr="00372911">
        <w:rPr>
          <w:rFonts w:cs="Arial"/>
          <w:sz w:val="20"/>
        </w:rPr>
        <w:t xml:space="preserve"> (1-2).  </w:t>
      </w:r>
    </w:p>
    <w:p w:rsidR="00372911" w:rsidRPr="00372911" w:rsidRDefault="00372911" w:rsidP="00372911">
      <w:pPr>
        <w:ind w:left="720" w:hanging="720"/>
        <w:rPr>
          <w:rFonts w:cs="Arial"/>
          <w:sz w:val="20"/>
        </w:rPr>
      </w:pPr>
      <w:proofErr w:type="spellStart"/>
      <w:r w:rsidRPr="00372911">
        <w:rPr>
          <w:rFonts w:cs="Arial"/>
          <w:sz w:val="20"/>
        </w:rPr>
        <w:t>Paivio</w:t>
      </w:r>
      <w:proofErr w:type="spellEnd"/>
      <w:r w:rsidRPr="00372911">
        <w:rPr>
          <w:rFonts w:cs="Arial"/>
          <w:sz w:val="20"/>
        </w:rPr>
        <w:t xml:space="preserve">, A. (1990). </w:t>
      </w:r>
      <w:r w:rsidRPr="00372911">
        <w:rPr>
          <w:rFonts w:cs="Arial"/>
          <w:i/>
          <w:sz w:val="20"/>
        </w:rPr>
        <w:t>Mental representations: A dual coding approach</w:t>
      </w:r>
      <w:r w:rsidRPr="00372911">
        <w:rPr>
          <w:rFonts w:cs="Arial"/>
          <w:sz w:val="20"/>
        </w:rPr>
        <w:t>. Oxford, UK: Oxford University Press.</w:t>
      </w:r>
    </w:p>
    <w:p w:rsidR="00372911" w:rsidRPr="00372911" w:rsidRDefault="00372911" w:rsidP="00372911">
      <w:pPr>
        <w:ind w:left="720" w:hanging="720"/>
        <w:rPr>
          <w:rFonts w:cs="Arial"/>
          <w:sz w:val="20"/>
        </w:rPr>
      </w:pPr>
      <w:proofErr w:type="spellStart"/>
      <w:r w:rsidRPr="00372911">
        <w:rPr>
          <w:rFonts w:cs="Arial"/>
          <w:sz w:val="20"/>
        </w:rPr>
        <w:t>Paivio</w:t>
      </w:r>
      <w:proofErr w:type="spellEnd"/>
      <w:r w:rsidRPr="00372911">
        <w:rPr>
          <w:rFonts w:cs="Arial"/>
          <w:sz w:val="20"/>
        </w:rPr>
        <w:t xml:space="preserve">, A. (2006). </w:t>
      </w:r>
      <w:r w:rsidRPr="00372911">
        <w:rPr>
          <w:rFonts w:cs="Arial"/>
          <w:i/>
          <w:sz w:val="20"/>
        </w:rPr>
        <w:t>Mind and its evolution: A dual coding theoretical approach</w:t>
      </w:r>
      <w:r w:rsidRPr="00372911">
        <w:rPr>
          <w:rFonts w:cs="Arial"/>
          <w:sz w:val="20"/>
        </w:rPr>
        <w:t>. East Sussex, UK: Psychology Press.</w:t>
      </w:r>
    </w:p>
    <w:p w:rsidR="00372911" w:rsidRPr="00372911" w:rsidRDefault="00372911" w:rsidP="00372911">
      <w:pPr>
        <w:ind w:left="720" w:hanging="720"/>
        <w:rPr>
          <w:rFonts w:cs="Arial"/>
          <w:sz w:val="20"/>
        </w:rPr>
      </w:pPr>
      <w:proofErr w:type="gramStart"/>
      <w:r w:rsidRPr="00372911">
        <w:rPr>
          <w:rFonts w:cs="Arial"/>
          <w:sz w:val="20"/>
        </w:rPr>
        <w:t>Palumbo, D., &amp; Bermudez, A. (1994).</w:t>
      </w:r>
      <w:proofErr w:type="gramEnd"/>
      <w:r w:rsidRPr="00372911">
        <w:rPr>
          <w:rFonts w:cs="Arial"/>
          <w:sz w:val="20"/>
        </w:rPr>
        <w:t xml:space="preserve">  </w:t>
      </w:r>
      <w:proofErr w:type="gramStart"/>
      <w:r w:rsidRPr="00372911">
        <w:rPr>
          <w:rFonts w:cs="Arial"/>
          <w:sz w:val="20"/>
        </w:rPr>
        <w:t>Using hypermedia to assist language minority learners in achieving academic success.</w:t>
      </w:r>
      <w:proofErr w:type="gramEnd"/>
      <w:r w:rsidRPr="00372911">
        <w:rPr>
          <w:rFonts w:cs="Arial"/>
          <w:sz w:val="20"/>
        </w:rPr>
        <w:t xml:space="preserve">  </w:t>
      </w:r>
      <w:r w:rsidRPr="00372911">
        <w:rPr>
          <w:rFonts w:cs="Arial"/>
          <w:i/>
          <w:sz w:val="20"/>
        </w:rPr>
        <w:t>Computers in the Schools, 10</w:t>
      </w:r>
      <w:r w:rsidRPr="00372911">
        <w:rPr>
          <w:rFonts w:cs="Arial"/>
          <w:sz w:val="20"/>
        </w:rPr>
        <w:t xml:space="preserve"> (1-2).  </w:t>
      </w:r>
    </w:p>
    <w:p w:rsidR="00372911" w:rsidRPr="00372911" w:rsidRDefault="00372911" w:rsidP="00372911">
      <w:pPr>
        <w:ind w:left="720" w:hanging="720"/>
        <w:rPr>
          <w:rFonts w:cs="Arial"/>
          <w:sz w:val="20"/>
        </w:rPr>
      </w:pPr>
      <w:proofErr w:type="spellStart"/>
      <w:proofErr w:type="gramStart"/>
      <w:r w:rsidRPr="00372911">
        <w:rPr>
          <w:rFonts w:cs="Arial"/>
          <w:sz w:val="20"/>
        </w:rPr>
        <w:t>Reif</w:t>
      </w:r>
      <w:proofErr w:type="spellEnd"/>
      <w:r w:rsidRPr="00372911">
        <w:rPr>
          <w:rFonts w:cs="Arial"/>
          <w:sz w:val="20"/>
        </w:rPr>
        <w:t>, F. and Heller J. I. (1982).</w:t>
      </w:r>
      <w:proofErr w:type="gramEnd"/>
      <w:r w:rsidRPr="00372911">
        <w:rPr>
          <w:rFonts w:cs="Arial"/>
          <w:sz w:val="20"/>
        </w:rPr>
        <w:t xml:space="preserve"> </w:t>
      </w:r>
      <w:proofErr w:type="gramStart"/>
      <w:r w:rsidRPr="00372911">
        <w:rPr>
          <w:rFonts w:cs="Arial"/>
          <w:sz w:val="20"/>
        </w:rPr>
        <w:t>Knowledge structures and problem solving in physics.</w:t>
      </w:r>
      <w:proofErr w:type="gramEnd"/>
      <w:r w:rsidRPr="00372911">
        <w:rPr>
          <w:rFonts w:cs="Arial"/>
          <w:sz w:val="20"/>
        </w:rPr>
        <w:t xml:space="preserve">  </w:t>
      </w:r>
      <w:r w:rsidRPr="00372911">
        <w:rPr>
          <w:rFonts w:cs="Arial"/>
          <w:i/>
          <w:sz w:val="20"/>
        </w:rPr>
        <w:t>Educational Psychologist, 17</w:t>
      </w:r>
      <w:r w:rsidRPr="00372911">
        <w:rPr>
          <w:rFonts w:cs="Arial"/>
          <w:sz w:val="20"/>
        </w:rPr>
        <w:t>(2), 102-127.</w:t>
      </w:r>
    </w:p>
    <w:p w:rsidR="00372911" w:rsidRPr="00372911" w:rsidRDefault="00372911" w:rsidP="00372911">
      <w:pPr>
        <w:ind w:left="720" w:hanging="720"/>
        <w:rPr>
          <w:rFonts w:cs="Arial"/>
          <w:sz w:val="20"/>
        </w:rPr>
      </w:pPr>
      <w:r w:rsidRPr="00372911">
        <w:rPr>
          <w:rFonts w:cs="Arial"/>
          <w:sz w:val="20"/>
        </w:rPr>
        <w:t xml:space="preserve">Robinson, D. H., &amp; </w:t>
      </w:r>
      <w:proofErr w:type="spellStart"/>
      <w:r w:rsidRPr="00372911">
        <w:rPr>
          <w:rFonts w:cs="Arial"/>
          <w:sz w:val="20"/>
        </w:rPr>
        <w:t>Schraw</w:t>
      </w:r>
      <w:proofErr w:type="spellEnd"/>
      <w:r w:rsidRPr="00372911">
        <w:rPr>
          <w:rFonts w:cs="Arial"/>
          <w:sz w:val="20"/>
        </w:rPr>
        <w:t xml:space="preserve">, G. (1994).  Computational efficiency though visual argument: Do graphic organizers communicate relations in text too effectively? </w:t>
      </w:r>
      <w:r w:rsidRPr="00372911">
        <w:rPr>
          <w:rFonts w:cs="Arial"/>
          <w:i/>
          <w:sz w:val="20"/>
        </w:rPr>
        <w:t>Contemporary Educational Psychology, 19</w:t>
      </w:r>
      <w:r w:rsidRPr="00372911">
        <w:rPr>
          <w:rFonts w:cs="Arial"/>
          <w:sz w:val="20"/>
        </w:rPr>
        <w:t xml:space="preserve">, 399-415.  </w:t>
      </w:r>
    </w:p>
    <w:p w:rsidR="00372911" w:rsidRPr="00372911" w:rsidRDefault="00372911" w:rsidP="00372911">
      <w:pPr>
        <w:ind w:left="720" w:hanging="720"/>
        <w:rPr>
          <w:rFonts w:cs="Arial"/>
          <w:sz w:val="20"/>
        </w:rPr>
      </w:pPr>
      <w:proofErr w:type="spellStart"/>
      <w:r w:rsidRPr="00372911">
        <w:rPr>
          <w:rFonts w:cs="Arial"/>
          <w:sz w:val="20"/>
        </w:rPr>
        <w:t>Rourke</w:t>
      </w:r>
      <w:proofErr w:type="spellEnd"/>
      <w:r w:rsidRPr="00372911">
        <w:rPr>
          <w:rFonts w:cs="Arial"/>
          <w:sz w:val="20"/>
        </w:rPr>
        <w:t xml:space="preserve">, L., </w:t>
      </w:r>
      <w:proofErr w:type="spellStart"/>
      <w:r w:rsidRPr="00372911">
        <w:rPr>
          <w:rFonts w:cs="Arial"/>
          <w:sz w:val="20"/>
        </w:rPr>
        <w:t>Lysynchuk</w:t>
      </w:r>
      <w:proofErr w:type="spellEnd"/>
      <w:r w:rsidRPr="00372911">
        <w:rPr>
          <w:rFonts w:cs="Arial"/>
          <w:sz w:val="20"/>
        </w:rPr>
        <w:t xml:space="preserve">, L.  (2000). </w:t>
      </w:r>
      <w:proofErr w:type="gramStart"/>
      <w:r w:rsidRPr="00372911">
        <w:rPr>
          <w:rFonts w:cs="Arial"/>
          <w:sz w:val="20"/>
        </w:rPr>
        <w:t>The</w:t>
      </w:r>
      <w:proofErr w:type="gramEnd"/>
      <w:r w:rsidRPr="00372911">
        <w:rPr>
          <w:rFonts w:cs="Arial"/>
          <w:sz w:val="20"/>
        </w:rPr>
        <w:t xml:space="preserve"> influence of </w:t>
      </w:r>
      <w:proofErr w:type="spellStart"/>
      <w:r w:rsidRPr="00372911">
        <w:rPr>
          <w:rFonts w:cs="Arial"/>
          <w:sz w:val="20"/>
        </w:rPr>
        <w:t>leanring</w:t>
      </w:r>
      <w:proofErr w:type="spellEnd"/>
      <w:r w:rsidRPr="00372911">
        <w:rPr>
          <w:rFonts w:cs="Arial"/>
          <w:sz w:val="20"/>
        </w:rPr>
        <w:t xml:space="preserve"> style on achievement in hypertext.  </w:t>
      </w:r>
      <w:proofErr w:type="spellStart"/>
      <w:r w:rsidRPr="00372911">
        <w:rPr>
          <w:rFonts w:cs="Arial"/>
          <w:i/>
          <w:sz w:val="20"/>
        </w:rPr>
        <w:t>Proceedigs</w:t>
      </w:r>
      <w:proofErr w:type="spellEnd"/>
      <w:r w:rsidRPr="00372911">
        <w:rPr>
          <w:rFonts w:cs="Arial"/>
          <w:i/>
          <w:sz w:val="20"/>
        </w:rPr>
        <w:t xml:space="preserve"> of the Annual Meeting of the American Educational Research Association</w:t>
      </w:r>
      <w:r w:rsidRPr="00372911">
        <w:rPr>
          <w:rFonts w:cs="Arial"/>
          <w:sz w:val="20"/>
        </w:rPr>
        <w:t>, New Orleans, LA, 24-28. (ERIC Document Reproduction Service No. 446 102)</w:t>
      </w:r>
    </w:p>
    <w:p w:rsidR="00372911" w:rsidRPr="00372911" w:rsidRDefault="00372911" w:rsidP="00372911">
      <w:pPr>
        <w:ind w:left="720" w:hanging="720"/>
        <w:rPr>
          <w:rFonts w:cs="Arial"/>
          <w:sz w:val="20"/>
        </w:rPr>
      </w:pPr>
      <w:proofErr w:type="spellStart"/>
      <w:proofErr w:type="gramStart"/>
      <w:r w:rsidRPr="00372911">
        <w:rPr>
          <w:rFonts w:cs="Arial"/>
          <w:sz w:val="20"/>
        </w:rPr>
        <w:t>Rumelhart</w:t>
      </w:r>
      <w:proofErr w:type="spellEnd"/>
      <w:r w:rsidRPr="00372911">
        <w:rPr>
          <w:rFonts w:cs="Arial"/>
          <w:sz w:val="20"/>
        </w:rPr>
        <w:t>, D. E. (1980).</w:t>
      </w:r>
      <w:proofErr w:type="gramEnd"/>
      <w:r w:rsidRPr="00372911">
        <w:rPr>
          <w:rFonts w:cs="Arial"/>
          <w:sz w:val="20"/>
        </w:rPr>
        <w:t xml:space="preserve">  Schemata: The building blocks of cognition.  In R. J. Spiro, B. C. Bruce, &amp; W. F. Brewer (Eds.), </w:t>
      </w:r>
      <w:r w:rsidRPr="00372911">
        <w:rPr>
          <w:rFonts w:cs="Arial"/>
          <w:i/>
          <w:sz w:val="20"/>
        </w:rPr>
        <w:t>Theoretical issues in reading comprehension</w:t>
      </w:r>
      <w:r w:rsidRPr="00372911">
        <w:rPr>
          <w:rFonts w:cs="Arial"/>
          <w:sz w:val="20"/>
        </w:rPr>
        <w:t xml:space="preserve">.  Hillsdale, NJ: Lawrence Erlbaum Associates. </w:t>
      </w:r>
    </w:p>
    <w:p w:rsidR="00372911" w:rsidRPr="00372911" w:rsidRDefault="00372911" w:rsidP="00372911">
      <w:pPr>
        <w:ind w:left="720" w:hanging="720"/>
        <w:rPr>
          <w:rFonts w:cs="Arial"/>
          <w:sz w:val="20"/>
        </w:rPr>
      </w:pPr>
      <w:r w:rsidRPr="00372911">
        <w:rPr>
          <w:rFonts w:cs="Arial"/>
          <w:sz w:val="20"/>
          <w:lang w:val="es-ES_tradnl"/>
        </w:rPr>
        <w:t>Santos-Trigo, M.</w:t>
      </w:r>
      <w:r w:rsidRPr="00372911">
        <w:rPr>
          <w:rFonts w:cs="Arial"/>
          <w:sz w:val="20"/>
        </w:rPr>
        <w:t>;</w:t>
      </w:r>
      <w:r w:rsidRPr="00372911">
        <w:rPr>
          <w:rFonts w:cs="Arial"/>
          <w:sz w:val="20"/>
          <w:lang w:val="es-ES_tradnl"/>
        </w:rPr>
        <w:t xml:space="preserve"> Espinosa-Pérez, H.; &amp; Reyes-Rodríguez, Aarón.  (2007).  </w:t>
      </w:r>
      <w:proofErr w:type="spellStart"/>
      <w:r w:rsidRPr="00372911">
        <w:rPr>
          <w:rFonts w:cs="Arial"/>
          <w:sz w:val="20"/>
          <w:lang w:val="es-ES_tradnl"/>
        </w:rPr>
        <w:t>Musing</w:t>
      </w:r>
      <w:proofErr w:type="spellEnd"/>
      <w:r w:rsidRPr="00372911">
        <w:rPr>
          <w:rFonts w:cs="Arial"/>
          <w:sz w:val="20"/>
          <w:lang w:val="es-ES_tradnl"/>
        </w:rPr>
        <w:t xml:space="preserve"> </w:t>
      </w:r>
      <w:proofErr w:type="spellStart"/>
      <w:r w:rsidRPr="00372911">
        <w:rPr>
          <w:rFonts w:cs="Arial"/>
          <w:sz w:val="20"/>
          <w:lang w:val="es-ES_tradnl"/>
        </w:rPr>
        <w:t>on</w:t>
      </w:r>
      <w:proofErr w:type="spellEnd"/>
      <w:r w:rsidRPr="00372911">
        <w:rPr>
          <w:rFonts w:cs="Arial"/>
          <w:sz w:val="20"/>
          <w:lang w:val="es-ES_tradnl"/>
        </w:rPr>
        <w:t xml:space="preserve"> </w:t>
      </w:r>
      <w:proofErr w:type="spellStart"/>
      <w:r w:rsidRPr="00372911">
        <w:rPr>
          <w:rFonts w:cs="Arial"/>
          <w:sz w:val="20"/>
          <w:lang w:val="es-ES_tradnl"/>
        </w:rPr>
        <w:t>the</w:t>
      </w:r>
      <w:proofErr w:type="spellEnd"/>
      <w:r w:rsidRPr="00372911">
        <w:rPr>
          <w:rFonts w:cs="Arial"/>
          <w:sz w:val="20"/>
          <w:lang w:val="es-ES_tradnl"/>
        </w:rPr>
        <w:t xml:space="preserve"> use of </w:t>
      </w:r>
      <w:proofErr w:type="spellStart"/>
      <w:r w:rsidRPr="00372911">
        <w:rPr>
          <w:rFonts w:cs="Arial"/>
          <w:sz w:val="20"/>
          <w:lang w:val="es-ES_tradnl"/>
        </w:rPr>
        <w:t>dynamic</w:t>
      </w:r>
      <w:proofErr w:type="spellEnd"/>
      <w:r w:rsidRPr="00372911">
        <w:rPr>
          <w:rFonts w:cs="Arial"/>
          <w:sz w:val="20"/>
          <w:lang w:val="es-ES_tradnl"/>
        </w:rPr>
        <w:t xml:space="preserve"> software and </w:t>
      </w:r>
      <w:proofErr w:type="spellStart"/>
      <w:r w:rsidRPr="00372911">
        <w:rPr>
          <w:rFonts w:cs="Arial"/>
          <w:sz w:val="20"/>
          <w:lang w:val="es-ES_tradnl"/>
        </w:rPr>
        <w:t>mathematics</w:t>
      </w:r>
      <w:proofErr w:type="spellEnd"/>
      <w:r w:rsidRPr="00372911">
        <w:rPr>
          <w:rFonts w:cs="Arial"/>
          <w:sz w:val="20"/>
          <w:lang w:val="es-ES_tradnl"/>
        </w:rPr>
        <w:t xml:space="preserve"> </w:t>
      </w:r>
      <w:proofErr w:type="spellStart"/>
      <w:r w:rsidRPr="00372911">
        <w:rPr>
          <w:rFonts w:cs="Arial"/>
          <w:sz w:val="20"/>
          <w:lang w:val="es-ES_tradnl"/>
        </w:rPr>
        <w:t>epistemology</w:t>
      </w:r>
      <w:proofErr w:type="spellEnd"/>
      <w:r w:rsidRPr="00372911">
        <w:rPr>
          <w:rFonts w:cs="Arial"/>
          <w:sz w:val="20"/>
          <w:lang w:val="es-ES_tradnl"/>
        </w:rPr>
        <w:t xml:space="preserve">.  </w:t>
      </w:r>
      <w:proofErr w:type="spellStart"/>
      <w:r w:rsidRPr="00372911">
        <w:rPr>
          <w:rFonts w:cs="Arial"/>
          <w:i/>
          <w:sz w:val="20"/>
          <w:lang w:val="es-ES_tradnl"/>
        </w:rPr>
        <w:t>Teaching</w:t>
      </w:r>
      <w:proofErr w:type="spellEnd"/>
      <w:r w:rsidRPr="00372911">
        <w:rPr>
          <w:rFonts w:cs="Arial"/>
          <w:i/>
          <w:sz w:val="20"/>
          <w:lang w:val="es-ES_tradnl"/>
        </w:rPr>
        <w:t xml:space="preserve"> </w:t>
      </w:r>
      <w:proofErr w:type="spellStart"/>
      <w:r w:rsidRPr="00372911">
        <w:rPr>
          <w:rFonts w:cs="Arial"/>
          <w:i/>
          <w:sz w:val="20"/>
          <w:lang w:val="es-ES_tradnl"/>
        </w:rPr>
        <w:t>Mathematics</w:t>
      </w:r>
      <w:proofErr w:type="spellEnd"/>
      <w:r w:rsidRPr="00372911">
        <w:rPr>
          <w:rFonts w:cs="Arial"/>
          <w:i/>
          <w:sz w:val="20"/>
          <w:lang w:val="es-ES_tradnl"/>
        </w:rPr>
        <w:t xml:space="preserve"> and </w:t>
      </w:r>
      <w:proofErr w:type="spellStart"/>
      <w:r w:rsidRPr="00372911">
        <w:rPr>
          <w:rFonts w:cs="Arial"/>
          <w:i/>
          <w:sz w:val="20"/>
          <w:lang w:val="es-ES_tradnl"/>
        </w:rPr>
        <w:t>Its</w:t>
      </w:r>
      <w:proofErr w:type="spellEnd"/>
      <w:r w:rsidRPr="00372911">
        <w:rPr>
          <w:rFonts w:cs="Arial"/>
          <w:i/>
          <w:sz w:val="20"/>
          <w:lang w:val="es-ES_tradnl"/>
        </w:rPr>
        <w:t xml:space="preserve"> </w:t>
      </w:r>
      <w:proofErr w:type="spellStart"/>
      <w:r w:rsidRPr="00372911">
        <w:rPr>
          <w:rFonts w:cs="Arial"/>
          <w:i/>
          <w:sz w:val="20"/>
          <w:lang w:val="es-ES_tradnl"/>
        </w:rPr>
        <w:t>Applications</w:t>
      </w:r>
      <w:proofErr w:type="spellEnd"/>
      <w:r w:rsidRPr="00372911">
        <w:rPr>
          <w:rFonts w:cs="Arial"/>
          <w:i/>
          <w:sz w:val="20"/>
          <w:lang w:val="es-ES_tradnl"/>
        </w:rPr>
        <w:t>, 26</w:t>
      </w:r>
      <w:r w:rsidRPr="00372911">
        <w:rPr>
          <w:rFonts w:cs="Arial"/>
          <w:sz w:val="20"/>
          <w:lang w:val="es-ES_tradnl"/>
        </w:rPr>
        <w:t>(4), 167-178.</w:t>
      </w:r>
    </w:p>
    <w:p w:rsidR="00372911" w:rsidRPr="00372911" w:rsidRDefault="00372911" w:rsidP="00372911">
      <w:pPr>
        <w:ind w:left="720" w:hanging="720"/>
        <w:rPr>
          <w:rFonts w:cs="Arial"/>
          <w:sz w:val="20"/>
          <w:lang w:val="es-ES_tradnl"/>
        </w:rPr>
      </w:pPr>
      <w:r w:rsidRPr="00372911">
        <w:rPr>
          <w:rFonts w:cs="Arial"/>
          <w:sz w:val="20"/>
          <w:lang w:val="es-ES_tradnl"/>
        </w:rPr>
        <w:t>Santos-Trigo, M.</w:t>
      </w:r>
      <w:r w:rsidRPr="00372911">
        <w:rPr>
          <w:rFonts w:cs="Arial"/>
          <w:sz w:val="20"/>
        </w:rPr>
        <w:t>;</w:t>
      </w:r>
      <w:r w:rsidRPr="00372911">
        <w:rPr>
          <w:rFonts w:cs="Arial"/>
          <w:sz w:val="20"/>
          <w:lang w:val="es-ES_tradnl"/>
        </w:rPr>
        <w:t xml:space="preserve"> Espinosa-Pérez, H.; &amp; Reyes-Rodríguez, Aarón.  (2008).  </w:t>
      </w:r>
      <w:proofErr w:type="spellStart"/>
      <w:r w:rsidRPr="00372911">
        <w:rPr>
          <w:rFonts w:cs="Arial"/>
          <w:sz w:val="20"/>
          <w:lang w:val="es-ES_tradnl"/>
        </w:rPr>
        <w:t>Connecting</w:t>
      </w:r>
      <w:proofErr w:type="spellEnd"/>
      <w:r w:rsidRPr="00372911">
        <w:rPr>
          <w:rFonts w:cs="Arial"/>
          <w:sz w:val="20"/>
          <w:lang w:val="es-ES_tradnl"/>
        </w:rPr>
        <w:t xml:space="preserve"> </w:t>
      </w:r>
      <w:proofErr w:type="spellStart"/>
      <w:r w:rsidRPr="00372911">
        <w:rPr>
          <w:rFonts w:cs="Arial"/>
          <w:sz w:val="20"/>
          <w:lang w:val="es-ES_tradnl"/>
        </w:rPr>
        <w:t>dynamic</w:t>
      </w:r>
      <w:proofErr w:type="spellEnd"/>
      <w:r w:rsidRPr="00372911">
        <w:rPr>
          <w:rFonts w:cs="Arial"/>
          <w:sz w:val="20"/>
          <w:lang w:val="es-ES_tradnl"/>
        </w:rPr>
        <w:t xml:space="preserve"> </w:t>
      </w:r>
      <w:proofErr w:type="spellStart"/>
      <w:r w:rsidRPr="00372911">
        <w:rPr>
          <w:rFonts w:cs="Arial"/>
          <w:sz w:val="20"/>
          <w:lang w:val="es-ES_tradnl"/>
        </w:rPr>
        <w:t>representations</w:t>
      </w:r>
      <w:proofErr w:type="spellEnd"/>
      <w:r w:rsidRPr="00372911">
        <w:rPr>
          <w:rFonts w:cs="Arial"/>
          <w:sz w:val="20"/>
          <w:lang w:val="es-ES_tradnl"/>
        </w:rPr>
        <w:t xml:space="preserve"> of simple </w:t>
      </w:r>
      <w:proofErr w:type="spellStart"/>
      <w:r w:rsidRPr="00372911">
        <w:rPr>
          <w:rFonts w:cs="Arial"/>
          <w:sz w:val="20"/>
          <w:lang w:val="es-ES_tradnl"/>
        </w:rPr>
        <w:t>mathematical</w:t>
      </w:r>
      <w:proofErr w:type="spellEnd"/>
      <w:r w:rsidRPr="00372911">
        <w:rPr>
          <w:rFonts w:cs="Arial"/>
          <w:sz w:val="20"/>
          <w:lang w:val="es-ES_tradnl"/>
        </w:rPr>
        <w:t xml:space="preserve"> </w:t>
      </w:r>
      <w:proofErr w:type="spellStart"/>
      <w:r w:rsidRPr="00372911">
        <w:rPr>
          <w:rFonts w:cs="Arial"/>
          <w:sz w:val="20"/>
          <w:lang w:val="es-ES_tradnl"/>
        </w:rPr>
        <w:t>objects</w:t>
      </w:r>
      <w:proofErr w:type="spellEnd"/>
      <w:r w:rsidRPr="00372911">
        <w:rPr>
          <w:rFonts w:cs="Arial"/>
          <w:sz w:val="20"/>
          <w:lang w:val="es-ES_tradnl"/>
        </w:rPr>
        <w:t xml:space="preserve"> </w:t>
      </w:r>
      <w:proofErr w:type="spellStart"/>
      <w:r w:rsidRPr="00372911">
        <w:rPr>
          <w:rFonts w:cs="Arial"/>
          <w:sz w:val="20"/>
          <w:lang w:val="es-ES_tradnl"/>
        </w:rPr>
        <w:t>with</w:t>
      </w:r>
      <w:proofErr w:type="spellEnd"/>
      <w:r w:rsidRPr="00372911">
        <w:rPr>
          <w:rFonts w:cs="Arial"/>
          <w:sz w:val="20"/>
          <w:lang w:val="es-ES_tradnl"/>
        </w:rPr>
        <w:t xml:space="preserve"> </w:t>
      </w:r>
      <w:proofErr w:type="spellStart"/>
      <w:r w:rsidRPr="00372911">
        <w:rPr>
          <w:rFonts w:cs="Arial"/>
          <w:sz w:val="20"/>
          <w:lang w:val="es-ES_tradnl"/>
        </w:rPr>
        <w:t>the</w:t>
      </w:r>
      <w:proofErr w:type="spellEnd"/>
      <w:r w:rsidRPr="00372911">
        <w:rPr>
          <w:rFonts w:cs="Arial"/>
          <w:sz w:val="20"/>
          <w:lang w:val="es-ES_tradnl"/>
        </w:rPr>
        <w:t xml:space="preserve"> </w:t>
      </w:r>
      <w:proofErr w:type="spellStart"/>
      <w:r w:rsidRPr="00372911">
        <w:rPr>
          <w:rFonts w:cs="Arial"/>
          <w:sz w:val="20"/>
          <w:lang w:val="es-ES_tradnl"/>
        </w:rPr>
        <w:t>construction</w:t>
      </w:r>
      <w:proofErr w:type="spellEnd"/>
      <w:r w:rsidRPr="00372911">
        <w:rPr>
          <w:rFonts w:cs="Arial"/>
          <w:sz w:val="20"/>
          <w:lang w:val="es-ES_tradnl"/>
        </w:rPr>
        <w:t xml:space="preserve"> and </w:t>
      </w:r>
      <w:proofErr w:type="spellStart"/>
      <w:r w:rsidRPr="00372911">
        <w:rPr>
          <w:rFonts w:cs="Arial"/>
          <w:sz w:val="20"/>
          <w:lang w:val="es-ES_tradnl"/>
        </w:rPr>
        <w:t>exploration</w:t>
      </w:r>
      <w:proofErr w:type="spellEnd"/>
      <w:r w:rsidRPr="00372911">
        <w:rPr>
          <w:rFonts w:cs="Arial"/>
          <w:sz w:val="20"/>
          <w:lang w:val="es-ES_tradnl"/>
        </w:rPr>
        <w:t xml:space="preserve"> of </w:t>
      </w:r>
      <w:proofErr w:type="spellStart"/>
      <w:r w:rsidRPr="00372911">
        <w:rPr>
          <w:rFonts w:cs="Arial"/>
          <w:sz w:val="20"/>
          <w:lang w:val="es-ES_tradnl"/>
        </w:rPr>
        <w:t>conic</w:t>
      </w:r>
      <w:proofErr w:type="spellEnd"/>
      <w:r w:rsidRPr="00372911">
        <w:rPr>
          <w:rFonts w:cs="Arial"/>
          <w:sz w:val="20"/>
          <w:lang w:val="es-ES_tradnl"/>
        </w:rPr>
        <w:t xml:space="preserve"> </w:t>
      </w:r>
      <w:proofErr w:type="spellStart"/>
      <w:r w:rsidRPr="00372911">
        <w:rPr>
          <w:rFonts w:cs="Arial"/>
          <w:sz w:val="20"/>
          <w:lang w:val="es-ES_tradnl"/>
        </w:rPr>
        <w:t>sections</w:t>
      </w:r>
      <w:proofErr w:type="spellEnd"/>
      <w:r w:rsidRPr="00372911">
        <w:rPr>
          <w:rFonts w:cs="Arial"/>
          <w:sz w:val="20"/>
          <w:lang w:val="es-ES_tradnl"/>
        </w:rPr>
        <w:t xml:space="preserve">.  </w:t>
      </w:r>
      <w:r w:rsidRPr="00372911">
        <w:rPr>
          <w:rFonts w:cs="Arial"/>
          <w:i/>
          <w:sz w:val="20"/>
          <w:lang w:val="es-ES_tradnl"/>
        </w:rPr>
        <w:t xml:space="preserve">International </w:t>
      </w:r>
      <w:proofErr w:type="spellStart"/>
      <w:r w:rsidRPr="00372911">
        <w:rPr>
          <w:rFonts w:cs="Arial"/>
          <w:i/>
          <w:sz w:val="20"/>
          <w:lang w:val="es-ES_tradnl"/>
        </w:rPr>
        <w:t>Journal</w:t>
      </w:r>
      <w:proofErr w:type="spellEnd"/>
      <w:r w:rsidRPr="00372911">
        <w:rPr>
          <w:rFonts w:cs="Arial"/>
          <w:i/>
          <w:sz w:val="20"/>
          <w:lang w:val="es-ES_tradnl"/>
        </w:rPr>
        <w:t xml:space="preserve"> of </w:t>
      </w:r>
      <w:proofErr w:type="spellStart"/>
      <w:r w:rsidRPr="00372911">
        <w:rPr>
          <w:rFonts w:cs="Arial"/>
          <w:i/>
          <w:sz w:val="20"/>
          <w:lang w:val="es-ES_tradnl"/>
        </w:rPr>
        <w:t>Mathematical</w:t>
      </w:r>
      <w:proofErr w:type="spellEnd"/>
      <w:r w:rsidRPr="00372911">
        <w:rPr>
          <w:rFonts w:cs="Arial"/>
          <w:i/>
          <w:sz w:val="20"/>
          <w:lang w:val="es-ES_tradnl"/>
        </w:rPr>
        <w:t xml:space="preserve"> </w:t>
      </w:r>
      <w:proofErr w:type="spellStart"/>
      <w:r w:rsidRPr="00372911">
        <w:rPr>
          <w:rFonts w:cs="Arial"/>
          <w:i/>
          <w:sz w:val="20"/>
          <w:lang w:val="es-ES_tradnl"/>
        </w:rPr>
        <w:t>Education</w:t>
      </w:r>
      <w:proofErr w:type="spellEnd"/>
      <w:r w:rsidRPr="00372911">
        <w:rPr>
          <w:rFonts w:cs="Arial"/>
          <w:i/>
          <w:sz w:val="20"/>
          <w:lang w:val="es-ES_tradnl"/>
        </w:rPr>
        <w:t xml:space="preserve"> in </w:t>
      </w:r>
      <w:proofErr w:type="spellStart"/>
      <w:r w:rsidRPr="00372911">
        <w:rPr>
          <w:rFonts w:cs="Arial"/>
          <w:i/>
          <w:sz w:val="20"/>
          <w:lang w:val="es-ES_tradnl"/>
        </w:rPr>
        <w:t>Science</w:t>
      </w:r>
      <w:proofErr w:type="spellEnd"/>
      <w:r w:rsidRPr="00372911">
        <w:rPr>
          <w:rFonts w:cs="Arial"/>
          <w:i/>
          <w:sz w:val="20"/>
          <w:lang w:val="es-ES_tradnl"/>
        </w:rPr>
        <w:t xml:space="preserve"> and </w:t>
      </w:r>
      <w:proofErr w:type="spellStart"/>
      <w:r w:rsidRPr="00372911">
        <w:rPr>
          <w:rFonts w:cs="Arial"/>
          <w:i/>
          <w:sz w:val="20"/>
          <w:lang w:val="es-ES_tradnl"/>
        </w:rPr>
        <w:t>Technology</w:t>
      </w:r>
      <w:proofErr w:type="spellEnd"/>
      <w:r w:rsidRPr="00372911">
        <w:rPr>
          <w:rFonts w:cs="Arial"/>
          <w:i/>
          <w:sz w:val="20"/>
          <w:lang w:val="es-ES_tradnl"/>
        </w:rPr>
        <w:t>, 39</w:t>
      </w:r>
      <w:r w:rsidRPr="00372911">
        <w:rPr>
          <w:rFonts w:cs="Arial"/>
          <w:sz w:val="20"/>
          <w:lang w:val="es-ES_tradnl"/>
        </w:rPr>
        <w:t xml:space="preserve">(5), 657-669.  </w:t>
      </w:r>
    </w:p>
    <w:p w:rsidR="00372911" w:rsidRPr="00372911" w:rsidRDefault="00372911" w:rsidP="00372911">
      <w:pPr>
        <w:ind w:left="720" w:hanging="720"/>
        <w:rPr>
          <w:rFonts w:cs="Arial"/>
          <w:sz w:val="20"/>
        </w:rPr>
      </w:pPr>
      <w:proofErr w:type="spellStart"/>
      <w:proofErr w:type="gramStart"/>
      <w:r w:rsidRPr="00372911">
        <w:rPr>
          <w:rFonts w:cs="Arial"/>
          <w:sz w:val="20"/>
        </w:rPr>
        <w:t>Scaife</w:t>
      </w:r>
      <w:proofErr w:type="spellEnd"/>
      <w:r w:rsidRPr="00372911">
        <w:rPr>
          <w:rFonts w:cs="Arial"/>
          <w:sz w:val="20"/>
        </w:rPr>
        <w:t>, M., &amp; Rogers, Y. (1996).</w:t>
      </w:r>
      <w:proofErr w:type="gramEnd"/>
      <w:r w:rsidRPr="00372911">
        <w:rPr>
          <w:rFonts w:cs="Arial"/>
          <w:sz w:val="20"/>
        </w:rPr>
        <w:t xml:space="preserve"> External cognition: How do graphical representations work? </w:t>
      </w:r>
      <w:r w:rsidRPr="00372911">
        <w:rPr>
          <w:rFonts w:cs="Arial"/>
          <w:i/>
          <w:sz w:val="20"/>
        </w:rPr>
        <w:t>International Journal of Human-Computer Studies, 45</w:t>
      </w:r>
      <w:r w:rsidRPr="00372911">
        <w:rPr>
          <w:rFonts w:cs="Arial"/>
          <w:sz w:val="20"/>
        </w:rPr>
        <w:t>, 185-213.</w:t>
      </w:r>
    </w:p>
    <w:p w:rsidR="00372911" w:rsidRPr="00372911" w:rsidRDefault="00372911" w:rsidP="00372911">
      <w:pPr>
        <w:ind w:left="720" w:hanging="720"/>
        <w:rPr>
          <w:rFonts w:cs="Arial"/>
          <w:sz w:val="20"/>
        </w:rPr>
      </w:pPr>
      <w:proofErr w:type="gramStart"/>
      <w:r w:rsidRPr="00372911">
        <w:rPr>
          <w:rFonts w:cs="Arial"/>
          <w:sz w:val="20"/>
        </w:rPr>
        <w:t>Simon, H. &amp; Kaplan, C. (1989).</w:t>
      </w:r>
      <w:proofErr w:type="gramEnd"/>
      <w:r w:rsidRPr="00372911">
        <w:rPr>
          <w:rFonts w:cs="Arial"/>
          <w:sz w:val="20"/>
        </w:rPr>
        <w:t xml:space="preserve"> </w:t>
      </w:r>
      <w:proofErr w:type="gramStart"/>
      <w:r w:rsidRPr="00372911">
        <w:rPr>
          <w:rFonts w:cs="Arial"/>
          <w:sz w:val="20"/>
        </w:rPr>
        <w:t>Foundations of cognitive science.</w:t>
      </w:r>
      <w:proofErr w:type="gramEnd"/>
      <w:r w:rsidRPr="00372911">
        <w:rPr>
          <w:rFonts w:cs="Arial"/>
          <w:sz w:val="20"/>
        </w:rPr>
        <w:t xml:space="preserve"> </w:t>
      </w:r>
      <w:proofErr w:type="gramStart"/>
      <w:r w:rsidRPr="00372911">
        <w:rPr>
          <w:rFonts w:cs="Arial"/>
          <w:sz w:val="20"/>
        </w:rPr>
        <w:t xml:space="preserve">In M. Posner (Ed.), </w:t>
      </w:r>
      <w:r w:rsidRPr="00372911">
        <w:rPr>
          <w:rFonts w:cs="Arial"/>
          <w:i/>
          <w:iCs/>
          <w:sz w:val="20"/>
        </w:rPr>
        <w:t xml:space="preserve">Foundations of Cognitive Science, </w:t>
      </w:r>
      <w:r w:rsidRPr="00372911">
        <w:rPr>
          <w:rFonts w:cs="Arial"/>
          <w:sz w:val="20"/>
        </w:rPr>
        <w:t>(pp. 1- 48).</w:t>
      </w:r>
      <w:proofErr w:type="gramEnd"/>
      <w:r w:rsidRPr="00372911">
        <w:rPr>
          <w:rFonts w:cs="Arial"/>
          <w:sz w:val="20"/>
        </w:rPr>
        <w:t xml:space="preserve"> Cambridge, MA: MIT Press.</w:t>
      </w:r>
    </w:p>
    <w:p w:rsidR="00372911" w:rsidRPr="00372911" w:rsidRDefault="00372911" w:rsidP="00372911">
      <w:pPr>
        <w:ind w:left="720" w:hanging="720"/>
        <w:rPr>
          <w:rFonts w:cs="Arial"/>
          <w:sz w:val="20"/>
        </w:rPr>
      </w:pPr>
      <w:proofErr w:type="spellStart"/>
      <w:proofErr w:type="gramStart"/>
      <w:r w:rsidRPr="00372911">
        <w:rPr>
          <w:rFonts w:cs="Arial"/>
          <w:sz w:val="20"/>
        </w:rPr>
        <w:t>Siviter</w:t>
      </w:r>
      <w:proofErr w:type="spellEnd"/>
      <w:r w:rsidRPr="00372911">
        <w:rPr>
          <w:rFonts w:cs="Arial"/>
          <w:sz w:val="20"/>
        </w:rPr>
        <w:t xml:space="preserve">, D. &amp; Brown, K. (1992) </w:t>
      </w:r>
      <w:proofErr w:type="spellStart"/>
      <w:r w:rsidRPr="00372911">
        <w:rPr>
          <w:rFonts w:cs="Arial"/>
          <w:sz w:val="20"/>
        </w:rPr>
        <w:t>Hypercourseware</w:t>
      </w:r>
      <w:proofErr w:type="spellEnd"/>
      <w:r w:rsidRPr="00372911">
        <w:rPr>
          <w:rFonts w:cs="Arial"/>
          <w:sz w:val="20"/>
        </w:rPr>
        <w:t>.</w:t>
      </w:r>
      <w:proofErr w:type="gramEnd"/>
      <w:r w:rsidRPr="00372911">
        <w:rPr>
          <w:rFonts w:cs="Arial"/>
          <w:sz w:val="20"/>
        </w:rPr>
        <w:t xml:space="preserve"> </w:t>
      </w:r>
      <w:r w:rsidRPr="00372911">
        <w:rPr>
          <w:rFonts w:cs="Arial"/>
          <w:i/>
          <w:sz w:val="20"/>
        </w:rPr>
        <w:t>Computers in Education, 18</w:t>
      </w:r>
      <w:r w:rsidRPr="00372911">
        <w:rPr>
          <w:rFonts w:cs="Arial"/>
          <w:sz w:val="20"/>
        </w:rPr>
        <w:t>(1-3), 163-170.</w:t>
      </w:r>
    </w:p>
    <w:p w:rsidR="00372911" w:rsidRPr="00372911" w:rsidRDefault="00372911" w:rsidP="00372911">
      <w:pPr>
        <w:ind w:left="720" w:hanging="720"/>
        <w:rPr>
          <w:rFonts w:cs="Arial"/>
          <w:sz w:val="20"/>
        </w:rPr>
      </w:pPr>
      <w:proofErr w:type="spellStart"/>
      <w:proofErr w:type="gramStart"/>
      <w:r w:rsidRPr="00372911">
        <w:rPr>
          <w:rFonts w:cs="Arial"/>
          <w:sz w:val="20"/>
        </w:rPr>
        <w:t>Stieff</w:t>
      </w:r>
      <w:proofErr w:type="spellEnd"/>
      <w:r w:rsidRPr="00372911">
        <w:rPr>
          <w:rFonts w:cs="Arial"/>
          <w:sz w:val="20"/>
        </w:rPr>
        <w:t xml:space="preserve">, M., </w:t>
      </w:r>
      <w:proofErr w:type="spellStart"/>
      <w:r w:rsidRPr="00372911">
        <w:rPr>
          <w:rFonts w:cs="Arial"/>
          <w:sz w:val="20"/>
        </w:rPr>
        <w:t>Hegarty</w:t>
      </w:r>
      <w:proofErr w:type="spellEnd"/>
      <w:r w:rsidRPr="00372911">
        <w:rPr>
          <w:rFonts w:cs="Arial"/>
          <w:sz w:val="20"/>
        </w:rPr>
        <w:t xml:space="preserve">, M., </w:t>
      </w:r>
      <w:proofErr w:type="spellStart"/>
      <w:r w:rsidRPr="00372911">
        <w:rPr>
          <w:rFonts w:cs="Arial"/>
          <w:sz w:val="20"/>
        </w:rPr>
        <w:t>Deslongchamps</w:t>
      </w:r>
      <w:proofErr w:type="spellEnd"/>
      <w:r w:rsidRPr="00372911">
        <w:rPr>
          <w:rFonts w:cs="Arial"/>
          <w:sz w:val="20"/>
        </w:rPr>
        <w:t>, G. (2011).</w:t>
      </w:r>
      <w:proofErr w:type="gramEnd"/>
      <w:r w:rsidRPr="00372911">
        <w:rPr>
          <w:rFonts w:cs="Arial"/>
          <w:sz w:val="20"/>
        </w:rPr>
        <w:t xml:space="preserve">  </w:t>
      </w:r>
      <w:proofErr w:type="gramStart"/>
      <w:r w:rsidRPr="00372911">
        <w:rPr>
          <w:rFonts w:cs="Arial"/>
          <w:sz w:val="20"/>
        </w:rPr>
        <w:t>Identifying Representational Competence with Multi-Representational Displays.</w:t>
      </w:r>
      <w:proofErr w:type="gramEnd"/>
      <w:r w:rsidRPr="00372911">
        <w:rPr>
          <w:rFonts w:cs="Arial"/>
          <w:sz w:val="20"/>
        </w:rPr>
        <w:t xml:space="preserve"> </w:t>
      </w:r>
      <w:r w:rsidRPr="00372911">
        <w:rPr>
          <w:rFonts w:cs="Arial"/>
          <w:i/>
          <w:sz w:val="20"/>
        </w:rPr>
        <w:t>Cognition and Instruction, 29</w:t>
      </w:r>
      <w:r w:rsidRPr="00372911">
        <w:rPr>
          <w:rFonts w:cs="Arial"/>
          <w:sz w:val="20"/>
        </w:rPr>
        <w:t>(1), 123-145.</w:t>
      </w:r>
    </w:p>
    <w:p w:rsidR="00372911" w:rsidRPr="00372911" w:rsidRDefault="00372911" w:rsidP="00372911">
      <w:pPr>
        <w:ind w:left="720" w:hanging="720"/>
        <w:rPr>
          <w:rFonts w:cs="Arial"/>
          <w:sz w:val="20"/>
        </w:rPr>
      </w:pPr>
      <w:proofErr w:type="spellStart"/>
      <w:proofErr w:type="gramStart"/>
      <w:r w:rsidRPr="00372911">
        <w:rPr>
          <w:rFonts w:cs="Arial"/>
          <w:sz w:val="20"/>
        </w:rPr>
        <w:t>Stoyanov</w:t>
      </w:r>
      <w:proofErr w:type="spellEnd"/>
      <w:r w:rsidRPr="00372911">
        <w:rPr>
          <w:rFonts w:cs="Arial"/>
          <w:sz w:val="20"/>
        </w:rPr>
        <w:t xml:space="preserve">, S., &amp; </w:t>
      </w:r>
      <w:proofErr w:type="spellStart"/>
      <w:r w:rsidRPr="00372911">
        <w:rPr>
          <w:rFonts w:cs="Arial"/>
          <w:sz w:val="20"/>
        </w:rPr>
        <w:t>Kommers</w:t>
      </w:r>
      <w:proofErr w:type="spellEnd"/>
      <w:r w:rsidRPr="00372911">
        <w:rPr>
          <w:rFonts w:cs="Arial"/>
          <w:sz w:val="20"/>
        </w:rPr>
        <w:t>, P. (1999).</w:t>
      </w:r>
      <w:proofErr w:type="gramEnd"/>
      <w:r w:rsidRPr="00372911">
        <w:rPr>
          <w:rFonts w:cs="Arial"/>
          <w:sz w:val="20"/>
        </w:rPr>
        <w:t xml:space="preserve"> </w:t>
      </w:r>
      <w:proofErr w:type="gramStart"/>
      <w:r w:rsidRPr="00372911">
        <w:rPr>
          <w:rFonts w:cs="Arial"/>
          <w:sz w:val="20"/>
        </w:rPr>
        <w:t>Agent support for problem solving through concept mapping.</w:t>
      </w:r>
      <w:proofErr w:type="gramEnd"/>
      <w:r w:rsidRPr="00372911">
        <w:rPr>
          <w:rFonts w:cs="Arial"/>
          <w:sz w:val="20"/>
        </w:rPr>
        <w:t xml:space="preserve"> </w:t>
      </w:r>
      <w:r w:rsidRPr="00372911">
        <w:rPr>
          <w:rFonts w:cs="Arial"/>
          <w:i/>
          <w:sz w:val="20"/>
        </w:rPr>
        <w:t>Journal of Interactive Learning Research, 10</w:t>
      </w:r>
      <w:r w:rsidRPr="00372911">
        <w:rPr>
          <w:rFonts w:cs="Arial"/>
          <w:sz w:val="20"/>
        </w:rPr>
        <w:t>(3/4), 401-425.</w:t>
      </w:r>
    </w:p>
    <w:p w:rsidR="00372911" w:rsidRPr="00372911" w:rsidRDefault="00372911" w:rsidP="00372911">
      <w:pPr>
        <w:ind w:left="720" w:hanging="720"/>
        <w:rPr>
          <w:rFonts w:cs="Arial"/>
          <w:sz w:val="20"/>
        </w:rPr>
      </w:pPr>
      <w:proofErr w:type="spellStart"/>
      <w:r w:rsidRPr="00372911">
        <w:rPr>
          <w:rFonts w:cs="Arial"/>
          <w:sz w:val="20"/>
        </w:rPr>
        <w:t>Svantesson</w:t>
      </w:r>
      <w:proofErr w:type="spellEnd"/>
      <w:r w:rsidRPr="00372911">
        <w:rPr>
          <w:rFonts w:cs="Arial"/>
          <w:sz w:val="20"/>
        </w:rPr>
        <w:t xml:space="preserve">, I.: 1992, </w:t>
      </w:r>
      <w:r w:rsidRPr="00372911">
        <w:rPr>
          <w:rFonts w:cs="Arial"/>
          <w:i/>
          <w:sz w:val="20"/>
        </w:rPr>
        <w:t xml:space="preserve">Mind Mapping und </w:t>
      </w:r>
      <w:proofErr w:type="spellStart"/>
      <w:r w:rsidRPr="00372911">
        <w:rPr>
          <w:rFonts w:cs="Arial"/>
          <w:i/>
          <w:sz w:val="20"/>
        </w:rPr>
        <w:t>Gedächtnistraining</w:t>
      </w:r>
      <w:proofErr w:type="spellEnd"/>
      <w:r w:rsidRPr="00372911">
        <w:rPr>
          <w:rFonts w:cs="Arial"/>
          <w:sz w:val="20"/>
        </w:rPr>
        <w:t>, Bremen: GABAL.</w:t>
      </w:r>
    </w:p>
    <w:p w:rsidR="00372911" w:rsidRPr="00372911" w:rsidRDefault="00372911" w:rsidP="00372911">
      <w:pPr>
        <w:ind w:left="720" w:hanging="720"/>
        <w:rPr>
          <w:rFonts w:cs="Arial"/>
          <w:sz w:val="20"/>
        </w:rPr>
      </w:pPr>
      <w:proofErr w:type="spellStart"/>
      <w:proofErr w:type="gramStart"/>
      <w:r w:rsidRPr="00372911">
        <w:rPr>
          <w:rFonts w:cs="Arial"/>
          <w:sz w:val="20"/>
        </w:rPr>
        <w:t>Sweller</w:t>
      </w:r>
      <w:proofErr w:type="spellEnd"/>
      <w:r w:rsidRPr="00372911">
        <w:rPr>
          <w:rFonts w:cs="Arial"/>
          <w:sz w:val="20"/>
        </w:rPr>
        <w:t>, J., &amp; Cooper, G. (1985).</w:t>
      </w:r>
      <w:proofErr w:type="gramEnd"/>
      <w:r w:rsidRPr="00372911">
        <w:rPr>
          <w:rFonts w:cs="Arial"/>
          <w:sz w:val="20"/>
        </w:rPr>
        <w:t xml:space="preserve">  </w:t>
      </w:r>
      <w:proofErr w:type="gramStart"/>
      <w:r w:rsidRPr="00372911">
        <w:rPr>
          <w:rFonts w:cs="Arial"/>
          <w:sz w:val="20"/>
        </w:rPr>
        <w:t>The use of worked examples as a substitute for problem solving in learning algebra.</w:t>
      </w:r>
      <w:proofErr w:type="gramEnd"/>
      <w:r w:rsidRPr="00372911">
        <w:rPr>
          <w:rFonts w:cs="Arial"/>
          <w:sz w:val="20"/>
        </w:rPr>
        <w:t xml:space="preserve">   </w:t>
      </w:r>
      <w:r w:rsidRPr="00372911">
        <w:rPr>
          <w:rFonts w:cs="Arial"/>
          <w:i/>
          <w:sz w:val="20"/>
        </w:rPr>
        <w:t>Cognition and Instruction, 2</w:t>
      </w:r>
      <w:r w:rsidRPr="00372911">
        <w:rPr>
          <w:rFonts w:cs="Arial"/>
          <w:sz w:val="20"/>
        </w:rPr>
        <w:t>, 59-89.</w:t>
      </w:r>
    </w:p>
    <w:p w:rsidR="00372911" w:rsidRPr="00372911" w:rsidRDefault="00372911" w:rsidP="00372911">
      <w:pPr>
        <w:ind w:left="720" w:hanging="720"/>
        <w:rPr>
          <w:rFonts w:cs="Arial"/>
          <w:sz w:val="20"/>
        </w:rPr>
      </w:pPr>
      <w:proofErr w:type="spellStart"/>
      <w:proofErr w:type="gramStart"/>
      <w:r w:rsidRPr="00372911">
        <w:rPr>
          <w:rFonts w:cs="Arial"/>
          <w:sz w:val="20"/>
        </w:rPr>
        <w:t>Tergan</w:t>
      </w:r>
      <w:proofErr w:type="spellEnd"/>
      <w:r w:rsidRPr="00372911">
        <w:rPr>
          <w:rFonts w:cs="Arial"/>
          <w:sz w:val="20"/>
        </w:rPr>
        <w:t>, S. (1997).</w:t>
      </w:r>
      <w:proofErr w:type="gramEnd"/>
      <w:r w:rsidRPr="00372911">
        <w:rPr>
          <w:rFonts w:cs="Arial"/>
          <w:sz w:val="20"/>
        </w:rPr>
        <w:t xml:space="preserve"> </w:t>
      </w:r>
      <w:proofErr w:type="gramStart"/>
      <w:r w:rsidRPr="00372911">
        <w:rPr>
          <w:rFonts w:cs="Arial"/>
          <w:sz w:val="20"/>
        </w:rPr>
        <w:t>Misleading theoretical assumptions in hypertext/hypermedia research.</w:t>
      </w:r>
      <w:proofErr w:type="gramEnd"/>
      <w:r w:rsidRPr="00372911">
        <w:rPr>
          <w:rFonts w:cs="Arial"/>
          <w:sz w:val="20"/>
        </w:rPr>
        <w:t xml:space="preserve"> </w:t>
      </w:r>
      <w:r w:rsidRPr="00372911">
        <w:rPr>
          <w:rFonts w:cs="Arial"/>
          <w:i/>
          <w:sz w:val="20"/>
        </w:rPr>
        <w:t>Journal of Educational Multimedia and Hypermedia, 6</w:t>
      </w:r>
      <w:r w:rsidRPr="00372911">
        <w:rPr>
          <w:rFonts w:cs="Arial"/>
          <w:sz w:val="20"/>
        </w:rPr>
        <w:t>(3/4), 257-283.</w:t>
      </w:r>
    </w:p>
    <w:p w:rsidR="00372911" w:rsidRPr="00372911" w:rsidRDefault="00372911" w:rsidP="00372911">
      <w:pPr>
        <w:ind w:left="720" w:hanging="720"/>
        <w:rPr>
          <w:rFonts w:cs="Arial"/>
          <w:sz w:val="20"/>
        </w:rPr>
      </w:pPr>
      <w:proofErr w:type="gramStart"/>
      <w:r w:rsidRPr="00372911">
        <w:rPr>
          <w:rFonts w:cs="Arial"/>
          <w:sz w:val="20"/>
        </w:rPr>
        <w:t>Tillman, M. (1997).</w:t>
      </w:r>
      <w:proofErr w:type="gramEnd"/>
      <w:r w:rsidRPr="00372911">
        <w:rPr>
          <w:rFonts w:cs="Arial"/>
          <w:sz w:val="20"/>
        </w:rPr>
        <w:t xml:space="preserve">  </w:t>
      </w:r>
      <w:proofErr w:type="gramStart"/>
      <w:r w:rsidRPr="00372911">
        <w:rPr>
          <w:rFonts w:cs="Arial"/>
          <w:i/>
          <w:sz w:val="20"/>
        </w:rPr>
        <w:t>World Wide Web Homepage Design</w:t>
      </w:r>
      <w:r w:rsidRPr="00372911">
        <w:rPr>
          <w:rFonts w:cs="Arial"/>
          <w:sz w:val="20"/>
        </w:rPr>
        <w:t>.</w:t>
      </w:r>
      <w:proofErr w:type="gramEnd"/>
      <w:r w:rsidRPr="00372911">
        <w:rPr>
          <w:rFonts w:cs="Arial"/>
          <w:sz w:val="20"/>
        </w:rPr>
        <w:t xml:space="preserve">  (ERIC Document Reproduction Service No. 405 840)</w:t>
      </w:r>
    </w:p>
    <w:p w:rsidR="00372911" w:rsidRPr="00372911" w:rsidRDefault="00372911" w:rsidP="00372911">
      <w:pPr>
        <w:ind w:left="720" w:hanging="720"/>
        <w:rPr>
          <w:rFonts w:cs="Arial"/>
          <w:sz w:val="20"/>
        </w:rPr>
      </w:pPr>
      <w:proofErr w:type="spellStart"/>
      <w:r w:rsidRPr="00372911">
        <w:rPr>
          <w:rFonts w:cs="Arial"/>
          <w:sz w:val="20"/>
        </w:rPr>
        <w:t>Vekiri</w:t>
      </w:r>
      <w:proofErr w:type="spellEnd"/>
      <w:r w:rsidRPr="00372911">
        <w:rPr>
          <w:rFonts w:cs="Arial"/>
          <w:sz w:val="20"/>
        </w:rPr>
        <w:t xml:space="preserve">, I. (2002). What is the value of graphical displays in learning?  </w:t>
      </w:r>
      <w:r w:rsidRPr="00372911">
        <w:rPr>
          <w:rFonts w:cs="Arial"/>
          <w:i/>
          <w:sz w:val="20"/>
        </w:rPr>
        <w:t>Educational Psychology Review, 14</w:t>
      </w:r>
      <w:r w:rsidRPr="00372911">
        <w:rPr>
          <w:rFonts w:cs="Arial"/>
          <w:sz w:val="20"/>
        </w:rPr>
        <w:t>(3), 261-312.</w:t>
      </w:r>
    </w:p>
    <w:p w:rsidR="00372911" w:rsidRPr="00372911" w:rsidRDefault="00372911" w:rsidP="00372911">
      <w:pPr>
        <w:ind w:left="720" w:hanging="720"/>
        <w:rPr>
          <w:rFonts w:cs="Arial"/>
          <w:sz w:val="20"/>
        </w:rPr>
      </w:pPr>
      <w:r w:rsidRPr="00372911">
        <w:rPr>
          <w:rFonts w:cs="Arial"/>
          <w:sz w:val="20"/>
        </w:rPr>
        <w:t xml:space="preserve">Wang, H. (2003, </w:t>
      </w:r>
      <w:proofErr w:type="gramStart"/>
      <w:r w:rsidRPr="00372911">
        <w:rPr>
          <w:rFonts w:cs="Arial"/>
          <w:sz w:val="20"/>
        </w:rPr>
        <w:t>Fall</w:t>
      </w:r>
      <w:proofErr w:type="gramEnd"/>
      <w:r w:rsidRPr="00372911">
        <w:rPr>
          <w:rFonts w:cs="Arial"/>
          <w:sz w:val="20"/>
        </w:rPr>
        <w:t xml:space="preserve">).  Hypermedia: A brief Literature Review.  </w:t>
      </w:r>
      <w:proofErr w:type="gramStart"/>
      <w:r w:rsidRPr="00372911">
        <w:rPr>
          <w:rFonts w:cs="Arial"/>
          <w:i/>
          <w:sz w:val="20"/>
        </w:rPr>
        <w:t>Journal of Educational Computing, Design &amp; Online Learning, 4</w:t>
      </w:r>
      <w:r w:rsidRPr="00372911">
        <w:rPr>
          <w:rFonts w:cs="Arial"/>
          <w:sz w:val="20"/>
        </w:rPr>
        <w:t>, 1-20.</w:t>
      </w:r>
      <w:proofErr w:type="gramEnd"/>
      <w:r w:rsidRPr="00372911">
        <w:rPr>
          <w:rFonts w:cs="Arial"/>
          <w:sz w:val="20"/>
        </w:rPr>
        <w:t xml:space="preserve"> </w:t>
      </w:r>
    </w:p>
    <w:p w:rsidR="00372911" w:rsidRPr="00372911" w:rsidRDefault="00372911" w:rsidP="00372911">
      <w:pPr>
        <w:ind w:left="720" w:hanging="720"/>
        <w:rPr>
          <w:rFonts w:cs="Arial"/>
          <w:sz w:val="20"/>
        </w:rPr>
      </w:pPr>
      <w:proofErr w:type="spellStart"/>
      <w:r w:rsidRPr="00372911">
        <w:rPr>
          <w:rFonts w:cs="Arial"/>
          <w:sz w:val="20"/>
        </w:rPr>
        <w:t>Wertsch</w:t>
      </w:r>
      <w:proofErr w:type="spellEnd"/>
      <w:r w:rsidRPr="00372911">
        <w:rPr>
          <w:rFonts w:cs="Arial"/>
          <w:sz w:val="20"/>
        </w:rPr>
        <w:t xml:space="preserve">, J. V. (1991). </w:t>
      </w:r>
      <w:proofErr w:type="gramStart"/>
      <w:r w:rsidRPr="00372911">
        <w:rPr>
          <w:rFonts w:cs="Arial"/>
          <w:sz w:val="20"/>
        </w:rPr>
        <w:t>A sociocultural approach to socially shared cognition.</w:t>
      </w:r>
      <w:proofErr w:type="gramEnd"/>
      <w:r w:rsidRPr="00372911">
        <w:rPr>
          <w:rFonts w:cs="Arial"/>
          <w:sz w:val="20"/>
        </w:rPr>
        <w:t xml:space="preserve"> In L. B. </w:t>
      </w:r>
      <w:proofErr w:type="spellStart"/>
      <w:r w:rsidRPr="00372911">
        <w:rPr>
          <w:rFonts w:cs="Arial"/>
          <w:sz w:val="20"/>
        </w:rPr>
        <w:t>Resnick</w:t>
      </w:r>
      <w:proofErr w:type="spellEnd"/>
      <w:r w:rsidRPr="00372911">
        <w:rPr>
          <w:rFonts w:cs="Arial"/>
          <w:sz w:val="20"/>
        </w:rPr>
        <w:t xml:space="preserve">, J. M. Levine, &amp; S. D. </w:t>
      </w:r>
      <w:proofErr w:type="spellStart"/>
      <w:r w:rsidRPr="00372911">
        <w:rPr>
          <w:rFonts w:cs="Arial"/>
          <w:sz w:val="20"/>
        </w:rPr>
        <w:t>Teasley</w:t>
      </w:r>
      <w:proofErr w:type="spellEnd"/>
      <w:r w:rsidRPr="00372911">
        <w:rPr>
          <w:rFonts w:cs="Arial"/>
          <w:sz w:val="20"/>
        </w:rPr>
        <w:t xml:space="preserve"> (Eds.), </w:t>
      </w:r>
      <w:r w:rsidRPr="00372911">
        <w:rPr>
          <w:rFonts w:cs="Arial"/>
          <w:i/>
          <w:sz w:val="20"/>
        </w:rPr>
        <w:t>Perspectives on socially shared cognition</w:t>
      </w:r>
      <w:r w:rsidRPr="00372911">
        <w:rPr>
          <w:rFonts w:cs="Arial"/>
          <w:sz w:val="20"/>
        </w:rPr>
        <w:t xml:space="preserve"> (pp. 85-100). Washington, DC: American Psychological Association.</w:t>
      </w:r>
    </w:p>
    <w:p w:rsidR="00372911" w:rsidRPr="00372911" w:rsidRDefault="00372911" w:rsidP="00372911">
      <w:pPr>
        <w:ind w:left="720" w:hanging="720"/>
        <w:rPr>
          <w:rFonts w:cs="Arial"/>
          <w:sz w:val="20"/>
        </w:rPr>
      </w:pPr>
      <w:r w:rsidRPr="00372911">
        <w:rPr>
          <w:rFonts w:cs="Arial"/>
          <w:sz w:val="20"/>
        </w:rPr>
        <w:t xml:space="preserve">Williams, P. J. (2000). Design: The only methodology of technology? </w:t>
      </w:r>
      <w:r w:rsidRPr="00372911">
        <w:rPr>
          <w:rFonts w:cs="Arial"/>
          <w:i/>
          <w:sz w:val="20"/>
        </w:rPr>
        <w:t>Journal of Technology Education, 11</w:t>
      </w:r>
      <w:r w:rsidRPr="00372911">
        <w:rPr>
          <w:rFonts w:cs="Arial"/>
          <w:sz w:val="20"/>
        </w:rPr>
        <w:t xml:space="preserve">(2), 48-60. </w:t>
      </w:r>
    </w:p>
    <w:p w:rsidR="00372911" w:rsidRPr="00372911" w:rsidRDefault="00372911" w:rsidP="00372911">
      <w:pPr>
        <w:ind w:left="720" w:hanging="720"/>
        <w:rPr>
          <w:rFonts w:cs="Arial"/>
          <w:sz w:val="20"/>
        </w:rPr>
      </w:pPr>
      <w:r w:rsidRPr="00372911">
        <w:rPr>
          <w:rFonts w:cs="Arial"/>
          <w:sz w:val="20"/>
        </w:rPr>
        <w:t xml:space="preserve">Yun, J. (2011).  The Effects of Hypertext Glosses on L2 Vocabulary Acquisition: A Meta-Analysis. </w:t>
      </w:r>
      <w:r w:rsidRPr="00372911">
        <w:rPr>
          <w:rFonts w:cs="Arial"/>
          <w:i/>
          <w:sz w:val="20"/>
        </w:rPr>
        <w:t>Computer Assisted Language Learning, 24</w:t>
      </w:r>
      <w:r w:rsidRPr="00372911">
        <w:rPr>
          <w:rFonts w:cs="Arial"/>
          <w:sz w:val="20"/>
        </w:rPr>
        <w:t xml:space="preserve">(1), 39-58. </w:t>
      </w:r>
    </w:p>
    <w:p w:rsidR="00372911" w:rsidRPr="00372911" w:rsidRDefault="00372911" w:rsidP="00372911">
      <w:pPr>
        <w:ind w:left="720" w:hanging="720"/>
        <w:rPr>
          <w:rFonts w:cs="Arial"/>
          <w:sz w:val="20"/>
        </w:rPr>
      </w:pPr>
      <w:r w:rsidRPr="00372911">
        <w:rPr>
          <w:rFonts w:cs="Arial"/>
          <w:sz w:val="20"/>
        </w:rPr>
        <w:t xml:space="preserve">Zhang, J. (1997). </w:t>
      </w:r>
      <w:proofErr w:type="gramStart"/>
      <w:r w:rsidRPr="00372911">
        <w:rPr>
          <w:rFonts w:cs="Arial"/>
          <w:sz w:val="20"/>
        </w:rPr>
        <w:t>The nature of external representations in problem solving.</w:t>
      </w:r>
      <w:proofErr w:type="gramEnd"/>
      <w:r w:rsidRPr="00372911">
        <w:rPr>
          <w:rFonts w:cs="Arial"/>
          <w:sz w:val="20"/>
        </w:rPr>
        <w:t xml:space="preserve"> </w:t>
      </w:r>
      <w:r w:rsidRPr="00372911">
        <w:rPr>
          <w:rFonts w:cs="Arial"/>
          <w:i/>
          <w:sz w:val="20"/>
        </w:rPr>
        <w:t>Cognitive Science, 21</w:t>
      </w:r>
      <w:r w:rsidRPr="00372911">
        <w:rPr>
          <w:rFonts w:cs="Arial"/>
          <w:sz w:val="20"/>
        </w:rPr>
        <w:t>(2), 179-21</w:t>
      </w:r>
    </w:p>
    <w:p w:rsidR="00372911" w:rsidRDefault="00372911" w:rsidP="00372911">
      <w:pPr>
        <w:ind w:left="720" w:hanging="720"/>
        <w:rPr>
          <w:rFonts w:cs="Arial"/>
          <w:sz w:val="20"/>
        </w:rPr>
      </w:pPr>
      <w:proofErr w:type="spellStart"/>
      <w:proofErr w:type="gramStart"/>
      <w:r w:rsidRPr="00372911">
        <w:rPr>
          <w:rFonts w:cs="Arial"/>
          <w:sz w:val="20"/>
        </w:rPr>
        <w:t>Zollman</w:t>
      </w:r>
      <w:proofErr w:type="spellEnd"/>
      <w:r w:rsidRPr="00372911">
        <w:rPr>
          <w:rFonts w:cs="Arial"/>
          <w:sz w:val="20"/>
        </w:rPr>
        <w:t>, A.</w:t>
      </w:r>
      <w:proofErr w:type="gramEnd"/>
      <w:r w:rsidRPr="00372911">
        <w:rPr>
          <w:rFonts w:cs="Arial"/>
          <w:sz w:val="20"/>
        </w:rPr>
        <w:t xml:space="preserve">  (2009). Students use graphic organizers to improve mathematical problem-solving communications. </w:t>
      </w:r>
      <w:r w:rsidRPr="00372911">
        <w:rPr>
          <w:rFonts w:cs="Arial"/>
          <w:i/>
          <w:sz w:val="20"/>
        </w:rPr>
        <w:t>Middle School Journal, 41</w:t>
      </w:r>
      <w:r w:rsidRPr="00372911">
        <w:rPr>
          <w:rFonts w:cs="Arial"/>
          <w:sz w:val="20"/>
        </w:rPr>
        <w:t>(2), 4-12</w:t>
      </w:r>
      <w:r w:rsidR="00AC7A0C">
        <w:rPr>
          <w:rFonts w:cs="Arial"/>
          <w:sz w:val="20"/>
        </w:rPr>
        <w:br/>
      </w:r>
    </w:p>
    <w:p w:rsidR="00E74431" w:rsidRDefault="00E74431" w:rsidP="00372911">
      <w:pPr>
        <w:ind w:left="720" w:hanging="720"/>
        <w:rPr>
          <w:rFonts w:cs="Arial"/>
          <w:sz w:val="20"/>
        </w:rPr>
      </w:pPr>
    </w:p>
    <w:p w:rsidR="00E74431" w:rsidRDefault="00E74431" w:rsidP="00372911">
      <w:pPr>
        <w:ind w:left="720" w:hanging="720"/>
        <w:rPr>
          <w:rFonts w:cs="Arial"/>
          <w:sz w:val="20"/>
        </w:rPr>
      </w:pPr>
    </w:p>
    <w:p w:rsidR="00E74431" w:rsidRDefault="00E74431" w:rsidP="00372911">
      <w:pPr>
        <w:ind w:left="720" w:hanging="720"/>
        <w:rPr>
          <w:rFonts w:cs="Arial"/>
          <w:sz w:val="20"/>
        </w:rPr>
      </w:pPr>
    </w:p>
    <w:p w:rsidR="00E74431" w:rsidRDefault="00E74431" w:rsidP="00372911">
      <w:pPr>
        <w:ind w:left="720" w:hanging="720"/>
        <w:rPr>
          <w:rFonts w:cs="Arial"/>
          <w:sz w:val="20"/>
        </w:rPr>
      </w:pPr>
    </w:p>
    <w:p w:rsidR="00A65D75" w:rsidRDefault="005E5BDD" w:rsidP="00E74431">
      <w:pPr>
        <w:ind w:left="720" w:hanging="720"/>
        <w:rPr>
          <w:rFonts w:ascii="Arial" w:hAnsi="Arial"/>
          <w:b/>
          <w:noProof/>
          <w:sz w:val="24"/>
        </w:rPr>
      </w:pPr>
      <w:hyperlink w:anchor="TOC" w:history="1">
        <w:r w:rsidR="00E74431" w:rsidRPr="00E74431">
          <w:rPr>
            <w:rStyle w:val="Hyperlink"/>
            <w:sz w:val="16"/>
            <w:szCs w:val="16"/>
          </w:rPr>
          <w:t>Return to Table of Contents</w:t>
        </w:r>
      </w:hyperlink>
      <w:r w:rsidR="00A65D75">
        <w:br w:type="page"/>
      </w:r>
    </w:p>
    <w:p w:rsidR="00372911" w:rsidRDefault="00372911" w:rsidP="00372911">
      <w:pPr>
        <w:pStyle w:val="Heading3"/>
      </w:pPr>
      <w:r>
        <w:t>About the Author</w:t>
      </w:r>
    </w:p>
    <w:tbl>
      <w:tblPr>
        <w:tblStyle w:val="TableGrid"/>
        <w:tblW w:w="0" w:type="auto"/>
        <w:tblLook w:val="04A0" w:firstRow="1" w:lastRow="0" w:firstColumn="1" w:lastColumn="0" w:noHBand="0" w:noVBand="1"/>
      </w:tblPr>
      <w:tblGrid>
        <w:gridCol w:w="2268"/>
        <w:gridCol w:w="6588"/>
      </w:tblGrid>
      <w:tr w:rsidR="00A65D75" w:rsidTr="00DF053E">
        <w:tc>
          <w:tcPr>
            <w:tcW w:w="2268" w:type="dxa"/>
          </w:tcPr>
          <w:p w:rsidR="00A65D75" w:rsidRDefault="00A65D75" w:rsidP="00372911">
            <w:pPr>
              <w:rPr>
                <w:rFonts w:ascii="Arial" w:hAnsi="Arial" w:cs="Arial"/>
                <w:b/>
                <w:sz w:val="24"/>
                <w:szCs w:val="24"/>
              </w:rPr>
            </w:pPr>
            <w:r>
              <w:rPr>
                <w:rFonts w:ascii="Arial" w:hAnsi="Arial" w:cs="Arial"/>
                <w:b/>
                <w:noProof/>
                <w:sz w:val="24"/>
                <w:szCs w:val="24"/>
              </w:rPr>
              <w:drawing>
                <wp:inline distT="0" distB="0" distL="0" distR="0" wp14:anchorId="5A139065" wp14:editId="3B974856">
                  <wp:extent cx="1294235" cy="1863635"/>
                  <wp:effectExtent l="0" t="0" r="127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4392" cy="1863861"/>
                          </a:xfrm>
                          <a:prstGeom prst="rect">
                            <a:avLst/>
                          </a:prstGeom>
                          <a:noFill/>
                          <a:ln>
                            <a:noFill/>
                          </a:ln>
                        </pic:spPr>
                      </pic:pic>
                    </a:graphicData>
                  </a:graphic>
                </wp:inline>
              </w:drawing>
            </w:r>
          </w:p>
        </w:tc>
        <w:tc>
          <w:tcPr>
            <w:tcW w:w="6588" w:type="dxa"/>
          </w:tcPr>
          <w:p w:rsidR="00A65D75" w:rsidRDefault="00A65D75" w:rsidP="00DF053E">
            <w:r w:rsidRPr="00372911">
              <w:rPr>
                <w:rFonts w:ascii="Arial" w:hAnsi="Arial" w:cs="Arial"/>
                <w:b/>
                <w:sz w:val="24"/>
                <w:szCs w:val="24"/>
              </w:rPr>
              <w:t>Dr. Leticia Hernandez de Hahn</w:t>
            </w:r>
            <w:r>
              <w:t xml:space="preserve"> is </w:t>
            </w:r>
            <w:r w:rsidRPr="00A15575">
              <w:t>Assistant Professor</w:t>
            </w:r>
            <w:r>
              <w:t xml:space="preserve">, </w:t>
            </w:r>
            <w:r w:rsidRPr="00A15575">
              <w:t>Department of Education</w:t>
            </w:r>
            <w:r>
              <w:t>, at N</w:t>
            </w:r>
            <w:r w:rsidRPr="00A15575">
              <w:t>iagara University, NY</w:t>
            </w:r>
            <w:r w:rsidR="00DF053E">
              <w:t>,</w:t>
            </w:r>
            <w:r>
              <w:t xml:space="preserve"> and works in close collaboration with the National Research Center on the Gifted and Talented at the University of Connecticut. She earned a B.A. in Education from the </w:t>
            </w:r>
            <w:proofErr w:type="spellStart"/>
            <w:r>
              <w:t>Panamerican</w:t>
            </w:r>
            <w:proofErr w:type="spellEnd"/>
            <w:r>
              <w:t xml:space="preserve"> University in Mexico City, a M.A. in Special Education from the University of the Americas, and a Ph.D. in Educational Psychology from the University of Connecticut. After three years on the west coast at Redlands University</w:t>
            </w:r>
            <w:r w:rsidR="00DF053E">
              <w:t>,</w:t>
            </w:r>
            <w:r>
              <w:t xml:space="preserve"> CA and </w:t>
            </w:r>
            <w:proofErr w:type="spellStart"/>
            <w:r>
              <w:t>Iberoamerican</w:t>
            </w:r>
            <w:proofErr w:type="spellEnd"/>
            <w:r>
              <w:t xml:space="preserve"> University, Mexico, where she taught courses in Educational Research, Educational Psychology and Bilingual/Bicultural Education, she moved to Munich, Germany. There, she </w:t>
            </w:r>
            <w:r w:rsidR="00DF053E">
              <w:t xml:space="preserve">was a core faculty member and academic advisor in the Psychology of Excellence program </w:t>
            </w:r>
            <w:r>
              <w:t>at the Ludwig-</w:t>
            </w:r>
            <w:proofErr w:type="spellStart"/>
            <w:r>
              <w:t>Maximilians</w:t>
            </w:r>
            <w:proofErr w:type="spellEnd"/>
            <w:r>
              <w:t>-</w:t>
            </w:r>
            <w:proofErr w:type="spellStart"/>
            <w:r>
              <w:t>Universität</w:t>
            </w:r>
            <w:proofErr w:type="spellEnd"/>
            <w:r>
              <w:t xml:space="preserve"> </w:t>
            </w:r>
            <w:proofErr w:type="spellStart"/>
            <w:r>
              <w:t>München</w:t>
            </w:r>
            <w:proofErr w:type="spellEnd"/>
            <w:r w:rsidR="00DF053E">
              <w:t>.</w:t>
            </w:r>
            <w:r>
              <w:t xml:space="preserve"> </w:t>
            </w:r>
            <w:r w:rsidR="00DF053E">
              <w:t>S</w:t>
            </w:r>
            <w:r>
              <w:t xml:space="preserve">he collaborated with the </w:t>
            </w:r>
            <w:proofErr w:type="spellStart"/>
            <w:r>
              <w:t>Pädagogische</w:t>
            </w:r>
            <w:proofErr w:type="spellEnd"/>
            <w:r>
              <w:t xml:space="preserve"> </w:t>
            </w:r>
            <w:proofErr w:type="spellStart"/>
            <w:r>
              <w:t>Akademie</w:t>
            </w:r>
            <w:proofErr w:type="spellEnd"/>
            <w:r>
              <w:t xml:space="preserve"> Graz, Austria, and the </w:t>
            </w:r>
            <w:proofErr w:type="spellStart"/>
            <w:r>
              <w:t>Hochschule</w:t>
            </w:r>
            <w:proofErr w:type="spellEnd"/>
            <w:r>
              <w:t xml:space="preserve"> Basel, Switzerland, to design an international Master’s program in Gifted/Talented Education. </w:t>
            </w:r>
          </w:p>
          <w:p w:rsidR="00A65D75" w:rsidRPr="00A65D75" w:rsidRDefault="00A65D75" w:rsidP="00DF053E">
            <w:r>
              <w:t>In January 2010 she was elected to the Board of Directors of AGATE, Advocacy for Gifted and Talented Education, in New York State. AGATE is a nonprofit organization of concerned parents, educators and advocates designed to promote the education and welfare of gifted and talented learners.</w:t>
            </w:r>
          </w:p>
          <w:p w:rsidR="00A65D75" w:rsidRDefault="00A65D75" w:rsidP="00A65D75">
            <w:pPr>
              <w:rPr>
                <w:rFonts w:ascii="Arial" w:hAnsi="Arial" w:cs="Arial"/>
                <w:b/>
                <w:sz w:val="24"/>
                <w:szCs w:val="24"/>
              </w:rPr>
            </w:pPr>
            <w:r>
              <w:t xml:space="preserve">e-Mail: </w:t>
            </w:r>
            <w:hyperlink r:id="rId17" w:history="1">
              <w:r w:rsidRPr="008A3FCF">
                <w:rPr>
                  <w:rStyle w:val="Hyperlink"/>
                </w:rPr>
                <w:t>lhahn@niagra.edu</w:t>
              </w:r>
            </w:hyperlink>
            <w:r>
              <w:rPr>
                <w:color w:val="FFFFFF"/>
              </w:rPr>
              <w:t>r. Leticia</w:t>
            </w:r>
          </w:p>
        </w:tc>
      </w:tr>
    </w:tbl>
    <w:p w:rsidR="00A65D75" w:rsidRDefault="00A65D75" w:rsidP="00372911">
      <w:pPr>
        <w:rPr>
          <w:rFonts w:ascii="Arial" w:hAnsi="Arial" w:cs="Arial"/>
          <w:b/>
          <w:sz w:val="24"/>
          <w:szCs w:val="24"/>
        </w:rPr>
      </w:pPr>
    </w:p>
    <w:p w:rsidR="00E74431" w:rsidRDefault="00E74431" w:rsidP="00372911">
      <w:pPr>
        <w:rPr>
          <w:rFonts w:ascii="Arial" w:hAnsi="Arial" w:cs="Arial"/>
          <w:b/>
          <w:sz w:val="24"/>
          <w:szCs w:val="24"/>
        </w:rPr>
      </w:pPr>
    </w:p>
    <w:p w:rsidR="00E74431" w:rsidRDefault="00E74431" w:rsidP="00372911">
      <w:pPr>
        <w:rPr>
          <w:rFonts w:ascii="Arial" w:hAnsi="Arial" w:cs="Arial"/>
          <w:b/>
          <w:sz w:val="24"/>
          <w:szCs w:val="24"/>
        </w:rPr>
      </w:pPr>
    </w:p>
    <w:p w:rsidR="00E74431" w:rsidRDefault="00E74431" w:rsidP="00372911">
      <w:pPr>
        <w:rPr>
          <w:rFonts w:ascii="Arial" w:hAnsi="Arial" w:cs="Arial"/>
          <w:b/>
          <w:sz w:val="24"/>
          <w:szCs w:val="24"/>
        </w:rPr>
      </w:pPr>
    </w:p>
    <w:p w:rsidR="00E74431" w:rsidRDefault="00E74431" w:rsidP="00372911">
      <w:pPr>
        <w:rPr>
          <w:rFonts w:ascii="Arial" w:hAnsi="Arial" w:cs="Arial"/>
          <w:b/>
          <w:sz w:val="24"/>
          <w:szCs w:val="24"/>
        </w:rPr>
      </w:pPr>
    </w:p>
    <w:p w:rsidR="00E74431" w:rsidRDefault="00E74431" w:rsidP="00372911">
      <w:pPr>
        <w:rPr>
          <w:rFonts w:ascii="Arial" w:hAnsi="Arial" w:cs="Arial"/>
          <w:b/>
          <w:sz w:val="24"/>
          <w:szCs w:val="24"/>
        </w:rPr>
      </w:pPr>
    </w:p>
    <w:p w:rsidR="00E74431" w:rsidRDefault="00E74431" w:rsidP="00372911">
      <w:pPr>
        <w:rPr>
          <w:rFonts w:ascii="Arial" w:hAnsi="Arial" w:cs="Arial"/>
          <w:b/>
          <w:sz w:val="24"/>
          <w:szCs w:val="24"/>
        </w:rPr>
      </w:pPr>
    </w:p>
    <w:p w:rsidR="00E74431" w:rsidRDefault="00E74431" w:rsidP="00372911">
      <w:pPr>
        <w:rPr>
          <w:rFonts w:ascii="Arial" w:hAnsi="Arial" w:cs="Arial"/>
          <w:b/>
          <w:sz w:val="24"/>
          <w:szCs w:val="24"/>
        </w:rPr>
      </w:pPr>
    </w:p>
    <w:p w:rsidR="00E74431" w:rsidRDefault="00E74431" w:rsidP="00372911">
      <w:pPr>
        <w:rPr>
          <w:rFonts w:ascii="Arial" w:hAnsi="Arial" w:cs="Arial"/>
          <w:b/>
          <w:sz w:val="24"/>
          <w:szCs w:val="24"/>
        </w:rPr>
      </w:pPr>
    </w:p>
    <w:p w:rsidR="00E74431" w:rsidRDefault="00E74431" w:rsidP="00372911">
      <w:pPr>
        <w:rPr>
          <w:rFonts w:ascii="Arial" w:hAnsi="Arial" w:cs="Arial"/>
          <w:b/>
          <w:sz w:val="24"/>
          <w:szCs w:val="24"/>
        </w:rPr>
      </w:pPr>
    </w:p>
    <w:p w:rsidR="00E74431" w:rsidRDefault="00E74431" w:rsidP="00372911">
      <w:pPr>
        <w:rPr>
          <w:rFonts w:ascii="Arial" w:hAnsi="Arial" w:cs="Arial"/>
          <w:b/>
          <w:sz w:val="24"/>
          <w:szCs w:val="24"/>
        </w:rPr>
      </w:pPr>
    </w:p>
    <w:p w:rsidR="00E74431" w:rsidRDefault="00E74431" w:rsidP="00372911">
      <w:pPr>
        <w:rPr>
          <w:rFonts w:ascii="Arial" w:hAnsi="Arial" w:cs="Arial"/>
          <w:b/>
          <w:sz w:val="24"/>
          <w:szCs w:val="24"/>
        </w:rPr>
      </w:pPr>
    </w:p>
    <w:p w:rsidR="00E74431" w:rsidRDefault="00E74431" w:rsidP="00372911">
      <w:pPr>
        <w:rPr>
          <w:rFonts w:ascii="Arial" w:hAnsi="Arial" w:cs="Arial"/>
          <w:b/>
          <w:sz w:val="24"/>
          <w:szCs w:val="24"/>
        </w:rPr>
      </w:pPr>
    </w:p>
    <w:p w:rsidR="00E74431" w:rsidRDefault="00E74431" w:rsidP="00372911">
      <w:pPr>
        <w:rPr>
          <w:rFonts w:ascii="Arial" w:hAnsi="Arial" w:cs="Arial"/>
          <w:b/>
          <w:sz w:val="24"/>
          <w:szCs w:val="24"/>
        </w:rPr>
      </w:pPr>
    </w:p>
    <w:p w:rsidR="00E74431" w:rsidRDefault="00E74431" w:rsidP="00372911">
      <w:pPr>
        <w:rPr>
          <w:rFonts w:ascii="Arial" w:hAnsi="Arial" w:cs="Arial"/>
          <w:b/>
          <w:sz w:val="24"/>
          <w:szCs w:val="24"/>
        </w:rPr>
      </w:pPr>
    </w:p>
    <w:p w:rsidR="00AC7A0C" w:rsidRDefault="005E5BDD" w:rsidP="00E74431">
      <w:pPr>
        <w:rPr>
          <w:rStyle w:val="Hyperlink"/>
        </w:rPr>
      </w:pPr>
      <w:hyperlink w:anchor="TOC" w:history="1">
        <w:r w:rsidR="00E74431" w:rsidRPr="00E74431">
          <w:rPr>
            <w:rStyle w:val="Hyperlink"/>
            <w:sz w:val="16"/>
            <w:szCs w:val="16"/>
          </w:rPr>
          <w:t>Return to Table of Contents</w:t>
        </w:r>
      </w:hyperlink>
      <w:r w:rsidR="00AC7A0C">
        <w:rPr>
          <w:rStyle w:val="Hyperlink"/>
        </w:rPr>
        <w:br w:type="page"/>
      </w:r>
    </w:p>
    <w:p w:rsidR="006B405F" w:rsidRDefault="006B405F" w:rsidP="006B405F">
      <w:pPr>
        <w:pStyle w:val="Note"/>
      </w:pPr>
      <w:r w:rsidRPr="004968BD">
        <w:rPr>
          <w:b/>
        </w:rPr>
        <w:t>Editor’s Note</w:t>
      </w:r>
      <w:r>
        <w:t>: To be competitive in a rapidly evolving global economy, education and industry are seeking practitioners with creative skills to become the analysts, designers, innovators, inventors, problem solvers, and leaders for the future. This requires an emphasis on higher levels of learning and techniques to develop the creative abilities of learners everywhere.</w:t>
      </w:r>
    </w:p>
    <w:p w:rsidR="006B405F" w:rsidRDefault="006B405F" w:rsidP="006B405F">
      <w:pPr>
        <w:pStyle w:val="Heading1"/>
      </w:pPr>
      <w:bookmarkStart w:id="6" w:name="_The_Web-Based_Creativity"/>
      <w:bookmarkEnd w:id="6"/>
      <w:r w:rsidRPr="00053794">
        <w:t>The Web-Based Creativity Model</w:t>
      </w:r>
      <w:r w:rsidRPr="002F3559">
        <w:rPr>
          <w:vertAlign w:val="superscript"/>
        </w:rPr>
        <w:t>©</w:t>
      </w:r>
      <w:r w:rsidRPr="00053794">
        <w:t xml:space="preserve">: </w:t>
      </w:r>
      <w:r>
        <w:br/>
      </w:r>
      <w:r w:rsidRPr="00707B8C">
        <w:rPr>
          <w:sz w:val="26"/>
          <w:szCs w:val="26"/>
        </w:rPr>
        <w:t>A New Approach for Creativity Integration to Achieve Industry and Learning-Organization Competencies in Online Graduate Classes</w:t>
      </w:r>
    </w:p>
    <w:p w:rsidR="006B405F" w:rsidRDefault="006B405F" w:rsidP="006B405F">
      <w:pPr>
        <w:pStyle w:val="Heading5"/>
      </w:pPr>
      <w:r w:rsidRPr="00B917DF">
        <w:t xml:space="preserve">Brent </w:t>
      </w:r>
      <w:proofErr w:type="spellStart"/>
      <w:r w:rsidRPr="00B917DF">
        <w:t>Muirhead</w:t>
      </w:r>
      <w:proofErr w:type="spellEnd"/>
      <w:r>
        <w:t xml:space="preserve">, John </w:t>
      </w:r>
      <w:proofErr w:type="spellStart"/>
      <w:r>
        <w:t>DeNigris</w:t>
      </w:r>
      <w:proofErr w:type="spellEnd"/>
      <w:r>
        <w:t xml:space="preserve"> III</w:t>
      </w:r>
      <w:r w:rsidR="0070613B">
        <w:t xml:space="preserve"> and</w:t>
      </w:r>
      <w:r>
        <w:t xml:space="preserve"> </w:t>
      </w:r>
      <w:r w:rsidRPr="00042CA2">
        <w:t>Jean R. Perlman</w:t>
      </w:r>
    </w:p>
    <w:p w:rsidR="006B405F" w:rsidRPr="002D722E" w:rsidRDefault="006B405F" w:rsidP="006B405F">
      <w:pPr>
        <w:pStyle w:val="Heading5"/>
        <w:rPr>
          <w:sz w:val="18"/>
          <w:szCs w:val="18"/>
        </w:rPr>
      </w:pPr>
      <w:r w:rsidRPr="002D722E">
        <w:rPr>
          <w:sz w:val="18"/>
          <w:szCs w:val="18"/>
        </w:rPr>
        <w:t>USA</w:t>
      </w:r>
    </w:p>
    <w:p w:rsidR="006B405F" w:rsidRDefault="006B405F" w:rsidP="006B405F">
      <w:pPr>
        <w:pStyle w:val="Heading3"/>
      </w:pPr>
      <w:r>
        <w:t>Abstract</w:t>
      </w:r>
    </w:p>
    <w:p w:rsidR="006B405F" w:rsidRDefault="006B405F" w:rsidP="006B405F">
      <w:r w:rsidRPr="00A95F72">
        <w:t>The focus of this article is a new approach to incorporate creativity in online graduate classes. A new model concept, the Web-Based Creativity Model</w:t>
      </w:r>
      <w:r w:rsidRPr="006B62A9">
        <w:rPr>
          <w:vertAlign w:val="superscript"/>
        </w:rPr>
        <w:t xml:space="preserve">©2012 Perlman, </w:t>
      </w:r>
      <w:proofErr w:type="spellStart"/>
      <w:r w:rsidRPr="006B62A9">
        <w:rPr>
          <w:vertAlign w:val="superscript"/>
        </w:rPr>
        <w:t>DeNigris&amp;</w:t>
      </w:r>
      <w:proofErr w:type="gramStart"/>
      <w:r w:rsidRPr="006B62A9">
        <w:rPr>
          <w:vertAlign w:val="superscript"/>
        </w:rPr>
        <w:t>Muirhead</w:t>
      </w:r>
      <w:proofErr w:type="spellEnd"/>
      <w:r w:rsidRPr="00A95F72">
        <w:t xml:space="preserve">  (</w:t>
      </w:r>
      <w:proofErr w:type="gramEnd"/>
      <w:r w:rsidRPr="00A95F72">
        <w:t>W-B Creativity Model</w:t>
      </w:r>
      <w:r w:rsidRPr="00F12D4C">
        <w:rPr>
          <w:vertAlign w:val="superscript"/>
        </w:rPr>
        <w:t>©</w:t>
      </w:r>
      <w:r w:rsidRPr="00A95F72">
        <w:t>) is proposed as a guide in developing strategies. The W-B Creativity Model</w:t>
      </w:r>
      <w:r w:rsidRPr="00F12D4C">
        <w:rPr>
          <w:vertAlign w:val="superscript"/>
        </w:rPr>
        <w:t>©</w:t>
      </w:r>
      <w:r w:rsidRPr="00A95F72">
        <w:t xml:space="preserve"> concept is based on the application of web-based technology tools to a new creativity-domain concept: the online-class-creativity (OCC).  Critical components of creativity and online learning objectives are integrated into three domains:</w:t>
      </w:r>
      <w:r>
        <w:t xml:space="preserve"> </w:t>
      </w:r>
      <w:r w:rsidRPr="00A95F72">
        <w:t xml:space="preserve">(1) Student-Class Interconnectedness Creativity, (2) Integrative-Use of External Resources Creativity, and (3) Problem-Solving Creativity. An overview of how the new model might be used is discussed.  The model concept is illustrated in Figure 1. Details of the </w:t>
      </w:r>
      <w:r>
        <w:t xml:space="preserve">proposed </w:t>
      </w:r>
      <w:r w:rsidRPr="00A95F72">
        <w:t>OCC domains are shown in Table 1.</w:t>
      </w:r>
    </w:p>
    <w:p w:rsidR="006B405F" w:rsidRDefault="006B405F" w:rsidP="006B405F">
      <w:r w:rsidRPr="00A95F72">
        <w:t>Technological relevance to contemporary learning and communications delivery is an emergent requirement of online courses. There is a gap in the literature on strategies to use web-based current and emergent technology to facilitate classroom creativity. Course content-developers, faculty and industry trainers may be able to use the W-B Creativity Model</w:t>
      </w:r>
      <w:r w:rsidRPr="00361378">
        <w:rPr>
          <w:vertAlign w:val="superscript"/>
        </w:rPr>
        <w:t>©</w:t>
      </w:r>
      <w:r w:rsidRPr="00A95F72">
        <w:t xml:space="preserve"> as a strategic guide to meet this emergent technology requirement. Included in the article are analyses of creativity definitions and research; </w:t>
      </w:r>
      <w:r>
        <w:t xml:space="preserve">creative applications of </w:t>
      </w:r>
      <w:r w:rsidRPr="00A95F72">
        <w:t>technology web tools (including web 2 and web 3); and competing issues of online learning organization-driven and industry-required competencies (i.e. online learning outcomes).</w:t>
      </w:r>
    </w:p>
    <w:p w:rsidR="006B405F" w:rsidRDefault="006B405F" w:rsidP="006B405F">
      <w:pPr>
        <w:rPr>
          <w:sz w:val="20"/>
        </w:rPr>
      </w:pPr>
      <w:r w:rsidRPr="002D722E">
        <w:rPr>
          <w:b/>
          <w:sz w:val="20"/>
        </w:rPr>
        <w:t>Key Words:</w:t>
      </w:r>
      <w:r w:rsidRPr="002D722E">
        <w:rPr>
          <w:sz w:val="20"/>
        </w:rPr>
        <w:t xml:space="preserve"> creativity, creativity domains, integration, online, eLearning, graduate class, </w:t>
      </w:r>
      <w:proofErr w:type="spellStart"/>
      <w:r w:rsidRPr="002D722E">
        <w:rPr>
          <w:sz w:val="20"/>
        </w:rPr>
        <w:t>outcomebased</w:t>
      </w:r>
      <w:proofErr w:type="spellEnd"/>
      <w:r w:rsidRPr="002D722E">
        <w:rPr>
          <w:sz w:val="20"/>
        </w:rPr>
        <w:t xml:space="preserve"> learning, competencies,</w:t>
      </w:r>
      <w:r>
        <w:rPr>
          <w:sz w:val="20"/>
        </w:rPr>
        <w:t xml:space="preserve"> </w:t>
      </w:r>
      <w:r w:rsidRPr="002D722E">
        <w:rPr>
          <w:sz w:val="20"/>
        </w:rPr>
        <w:t>emergent technology, thought enabling technology, web based creativity model, web technology, web 3.0, web 2.0</w:t>
      </w:r>
    </w:p>
    <w:p w:rsidR="006B405F" w:rsidRDefault="006B405F" w:rsidP="006B405F">
      <w:pPr>
        <w:pStyle w:val="Heading3"/>
      </w:pPr>
      <w:r w:rsidRPr="00596025">
        <w:t>Introduction</w:t>
      </w:r>
    </w:p>
    <w:p w:rsidR="006B405F" w:rsidRDefault="006B405F" w:rsidP="006B405F">
      <w:pPr>
        <w:spacing w:after="0"/>
        <w:rPr>
          <w:rFonts w:ascii="Arial" w:hAnsi="Arial" w:cs="Arial"/>
          <w:sz w:val="24"/>
          <w:szCs w:val="24"/>
        </w:rPr>
      </w:pPr>
      <w:r w:rsidRPr="002D722E">
        <w:t>Creativity in the 21st Century online classroom is connected to thought-enabling technologies</w:t>
      </w:r>
      <w:r>
        <w:t xml:space="preserve"> </w:t>
      </w:r>
      <w:r w:rsidRPr="002D722E">
        <w:t>(Hong &amp; Jung, 2010). Presented in this article is a new model concept, the Web-Based Creativity Model©, which may help in strategizing use of these classroom creative technologies. The discussion begins with a foundational overview-definition of creativity. Next, application of creativity relative to change resistance, and online learning competencies is discussed. This is followed with a discussion of the new model concept. The article concludes with conclusions and recommendations for further research</w:t>
      </w:r>
      <w:r>
        <w:rPr>
          <w:rFonts w:ascii="Arial" w:hAnsi="Arial" w:cs="Arial"/>
          <w:sz w:val="24"/>
          <w:szCs w:val="24"/>
        </w:rPr>
        <w:t>.</w:t>
      </w:r>
    </w:p>
    <w:p w:rsidR="006B405F" w:rsidRPr="00D600D1" w:rsidRDefault="006B405F" w:rsidP="006B405F">
      <w:pPr>
        <w:pStyle w:val="Heading3"/>
      </w:pPr>
      <w:r w:rsidRPr="00D600D1">
        <w:t>Defining Creativity</w:t>
      </w:r>
    </w:p>
    <w:p w:rsidR="006B405F" w:rsidRDefault="006B405F" w:rsidP="006B405F">
      <w:r w:rsidRPr="00D600D1">
        <w:t>The term creativity has generated a diversity of definitions. Kaufman and Sternberg (2007) defined creativity with having three elements</w:t>
      </w:r>
      <w:r>
        <w:t>: “</w:t>
      </w:r>
      <w:r w:rsidRPr="00D600D1">
        <w:t xml:space="preserve">First, those ideas must represent something different, new, or innovative. Second, they need to be of high quality. Third, creative ideas must also be appropriate to the task at hand. </w:t>
      </w:r>
      <w:proofErr w:type="gramStart"/>
      <w:r w:rsidRPr="00D600D1">
        <w:t>Thus, a creative response to a probl</w:t>
      </w:r>
      <w:r>
        <w:t>em is new, good, and relevant”</w:t>
      </w:r>
      <w:r w:rsidRPr="00D600D1">
        <w:t xml:space="preserve"> (p. 55).</w:t>
      </w:r>
      <w:proofErr w:type="gramEnd"/>
      <w:r>
        <w:t xml:space="preserve"> </w:t>
      </w:r>
      <w:proofErr w:type="gramStart"/>
      <w:r w:rsidRPr="00D600D1">
        <w:t>Contemporary definitions of creativity stress the ability to produce novel (original/unexpected) work that is high in quality and is appropriate (useful).</w:t>
      </w:r>
      <w:proofErr w:type="gramEnd"/>
      <w:r w:rsidRPr="00D600D1">
        <w:t xml:space="preserve"> The criteria establish boundaries for originality and helps individuals identify whether a product or idea is creative (</w:t>
      </w:r>
      <w:proofErr w:type="spellStart"/>
      <w:r w:rsidRPr="00D600D1">
        <w:t>Beghetto</w:t>
      </w:r>
      <w:proofErr w:type="spellEnd"/>
      <w:r w:rsidRPr="00D600D1">
        <w:t>, 2010). It should be noted that writers will refer to the word innovative in the literature. It is a distinctive term and refers to the outcome of the creative process and a new product is introduced into the market place. Therefore, ideas could be novel and solve a particular problem but not evolve into an innovative entity. A common misconception is the need to be freed from the past to be truly creative. Rather, creativity builds upon past experiences and knowledge and uses them as a foundation for developing new ideas (</w:t>
      </w:r>
      <w:proofErr w:type="spellStart"/>
      <w:r w:rsidRPr="00D600D1">
        <w:t>Weisburg</w:t>
      </w:r>
      <w:proofErr w:type="spellEnd"/>
      <w:r w:rsidRPr="00D600D1">
        <w:t>, 2010).</w:t>
      </w:r>
    </w:p>
    <w:p w:rsidR="006B405F" w:rsidRDefault="006B405F" w:rsidP="006B405F">
      <w:r w:rsidRPr="00D600D1">
        <w:t xml:space="preserve">It is difficult to capture the multidimensional qualities of creativity within a single definition. The literature often highlights the positive and optimistic aspects of the term while neglecting the negative. </w:t>
      </w:r>
      <w:r w:rsidRPr="00D600D1">
        <w:rPr>
          <w:i/>
        </w:rPr>
        <w:t>The Dark Side of Creativity</w:t>
      </w:r>
      <w:r w:rsidRPr="00D600D1">
        <w:t xml:space="preserve"> (2010) is an example of writers seeking to bring greater balance to the discussion by exploring the deeper assumptions and connections between creativity, morality and unethical behaviors. </w:t>
      </w:r>
    </w:p>
    <w:p w:rsidR="006B405F" w:rsidRPr="00D600D1" w:rsidRDefault="006B405F" w:rsidP="006B405F">
      <w:r w:rsidRPr="00D600D1">
        <w:t xml:space="preserve">For instance, there exists a tension within society between the desire for quickly producing original ideas and innovations while having fears about potential negative social consequences. Creativity requires experimentation. People are encouraged to be risk </w:t>
      </w:r>
      <w:proofErr w:type="spellStart"/>
      <w:r w:rsidRPr="00D600D1">
        <w:t>takers.There</w:t>
      </w:r>
      <w:proofErr w:type="spellEnd"/>
      <w:r w:rsidRPr="00D600D1">
        <w:t xml:space="preserve"> can be enormous rewards for commercialization of innovative technologies. Yet, the push for quicker results can led to tragic outcomes such as when Wall Street leaders take excessive risks with new financial products and undermine economic stability. A growing number of researchers are examining the negative and positive applications of novel ideas to acquire a deeper understanding of the nature of creativity (Baucus, Norton, Baucus, &amp; Human, 2007). </w:t>
      </w:r>
    </w:p>
    <w:p w:rsidR="006B405F" w:rsidRDefault="006B405F" w:rsidP="006B405F">
      <w:r w:rsidRPr="00D600D1">
        <w:t xml:space="preserve">The literature reflects a continuous effort to describe creativity. However, there remains a lack of consensus about a universal definition. A review of 42 definitions among researchers and theorists by </w:t>
      </w:r>
      <w:proofErr w:type="spellStart"/>
      <w:r w:rsidRPr="00D600D1">
        <w:t>Panagiotis</w:t>
      </w:r>
      <w:proofErr w:type="spellEnd"/>
      <w:r w:rsidRPr="00D600D1">
        <w:t xml:space="preserve"> and </w:t>
      </w:r>
      <w:proofErr w:type="spellStart"/>
      <w:r w:rsidRPr="00D600D1">
        <w:t>Valtanen</w:t>
      </w:r>
      <w:proofErr w:type="spellEnd"/>
      <w:r w:rsidRPr="00D600D1">
        <w:t xml:space="preserve"> (2010, p. 198) did identify four major essential features of creativity. The components are (1) creativity is a key ability of individual(s), (2) creativity presumes an intentional activity (process), (3) the creative process occurs in a specific context (environment), and (4) the creative process entails the generation of product(s) (tangible or intangible). Creative product(s) must be novel (original, unconventional) and appropriate (valuable, useful) to some extent, at least for the creative individual(s).</w:t>
      </w:r>
    </w:p>
    <w:p w:rsidR="006B405F" w:rsidRDefault="006B405F" w:rsidP="006B405F">
      <w:r w:rsidRPr="00D600D1">
        <w:t xml:space="preserve">The definitions stress how creative individuals possess the intellectual abilities and independent personality that gives them the autonomy of thought to explore and even advocate unpopular ideas. They use a specific knowledge domain to produce new knowledge by taking unique perspectives on problems and identify ideas worth studying. The literature reveals the importance of having a supportive environment to reinforce and reward original thinking which has important implications </w:t>
      </w:r>
      <w:r>
        <w:t xml:space="preserve">for </w:t>
      </w:r>
      <w:r w:rsidRPr="00D600D1">
        <w:t>business leaders and educators who want organizational innovation (</w:t>
      </w:r>
      <w:proofErr w:type="spellStart"/>
      <w:r w:rsidRPr="00D600D1">
        <w:t>Weisburg</w:t>
      </w:r>
      <w:proofErr w:type="spellEnd"/>
      <w:r w:rsidRPr="00D600D1">
        <w:t>, 2006).</w:t>
      </w:r>
    </w:p>
    <w:p w:rsidR="006B405F" w:rsidRPr="00D600D1" w:rsidRDefault="006B405F" w:rsidP="006B405F">
      <w:pPr>
        <w:pStyle w:val="Heading3"/>
      </w:pPr>
      <w:r w:rsidRPr="00D600D1">
        <w:t>Creative Individuals</w:t>
      </w:r>
    </w:p>
    <w:p w:rsidR="006B405F" w:rsidRDefault="006B405F" w:rsidP="006B405F">
      <w:r w:rsidRPr="00D600D1">
        <w:t xml:space="preserve">Studies affirm a solid connection between hard work and being creative. A good work ethic enables individuals to have the patience and determination essential to produce solutions. Even those who are categorized genius (e.g. Mozart) had an exceptional work ethic (Howe, 1999). </w:t>
      </w:r>
    </w:p>
    <w:p w:rsidR="006B405F" w:rsidRDefault="006B405F" w:rsidP="006B405F">
      <w:r w:rsidRPr="00D600D1">
        <w:t>Also, passion is a valuable trait. Yet, it is not an obsessive passion that compels individuals who struggle with internal issues such as self-esteem. This can cause them to lose control of the problem solving process. Rather, individuals have a passion where they freely choose a specific area of interest. This sense of freedom enables people to take unique approaches to problems, experimenting with unconventional thinking and generating new ideas (</w:t>
      </w:r>
      <w:proofErr w:type="spellStart"/>
      <w:r w:rsidRPr="00D600D1">
        <w:t>Luh</w:t>
      </w:r>
      <w:proofErr w:type="spellEnd"/>
      <w:r>
        <w:t xml:space="preserve"> </w:t>
      </w:r>
      <w:r w:rsidRPr="00D600D1">
        <w:t xml:space="preserve">&amp; Chen Lu, 2012). </w:t>
      </w:r>
    </w:p>
    <w:p w:rsidR="006B405F" w:rsidRDefault="006B405F" w:rsidP="006B405F">
      <w:r w:rsidRPr="00D600D1">
        <w:t>The individual's attitude plays a key role in problem solving situations. Those who are intrinsically motivated will increase the probability of being able to successfully generate novel ideas and products. Artists, writers and scientists are known for being passionate about their endeavors (</w:t>
      </w:r>
      <w:proofErr w:type="spellStart"/>
      <w:r w:rsidRPr="00D600D1">
        <w:t>Weisburg</w:t>
      </w:r>
      <w:proofErr w:type="spellEnd"/>
      <w:r w:rsidRPr="00D600D1">
        <w:t>, 2006).</w:t>
      </w:r>
    </w:p>
    <w:p w:rsidR="006B405F" w:rsidRDefault="006B405F" w:rsidP="006B405F">
      <w:r w:rsidRPr="00D600D1">
        <w:t>Creative people are effective at being problem finders by noticing what others tend to miss.  They cultivate the ability to filter and select relevant ideas to solve problems. Researchers continue to investigate the cognitive skills associated with problem finding. The contemporary emphasis on spontaneity has neglected the role of problem selection and preparation. For instance, Impressionist painters in Europe were trained in academies where detailed planning was required such as selecting the appropriate historical or mythical theme. Painting would begin only after extensive experimenting with colors and making preliminary sketches (Sawyer, 2006)</w:t>
      </w:r>
      <w:r>
        <w:t>.</w:t>
      </w:r>
      <w:r w:rsidRPr="00D600D1">
        <w:t xml:space="preserve"> </w:t>
      </w:r>
    </w:p>
    <w:p w:rsidR="006B405F" w:rsidRDefault="006B405F" w:rsidP="006B405F">
      <w:r w:rsidRPr="00D600D1">
        <w:t>This highlights the need for more research into understanding the influences of social and cultural factors (e.g. individualism) on stimulating originality (</w:t>
      </w:r>
      <w:proofErr w:type="spellStart"/>
      <w:r w:rsidRPr="00D600D1">
        <w:t>Zorana</w:t>
      </w:r>
      <w:proofErr w:type="spellEnd"/>
      <w:r w:rsidRPr="00D600D1">
        <w:t>, 2009). Why are some people able to be more creative in their work?  Perhaps, it has to do with the level of confidence and their mindset. Researchers tested 1300 people across diverse industries and identified six major traits that fostered creativity (</w:t>
      </w:r>
      <w:proofErr w:type="spellStart"/>
      <w:r w:rsidRPr="00D600D1">
        <w:t>Imber</w:t>
      </w:r>
      <w:proofErr w:type="spellEnd"/>
      <w:r w:rsidRPr="00D600D1">
        <w:t xml:space="preserve">, 2011). </w:t>
      </w:r>
    </w:p>
    <w:p w:rsidR="006B405F" w:rsidRDefault="006B405F" w:rsidP="006B405F">
      <w:r w:rsidRPr="00D600D1">
        <w:t>First, individuals are open to experiences and enjoy variety in their daily lives</w:t>
      </w:r>
      <w:r>
        <w:t>. They</w:t>
      </w:r>
      <w:r w:rsidRPr="00D600D1">
        <w:t xml:space="preserve"> pursue new </w:t>
      </w:r>
      <w:proofErr w:type="gramStart"/>
      <w:r w:rsidRPr="00D600D1">
        <w:t>experiences,</w:t>
      </w:r>
      <w:proofErr w:type="gramEnd"/>
      <w:r w:rsidRPr="00D600D1">
        <w:t xml:space="preserve"> have strong curiosity and </w:t>
      </w:r>
      <w:r>
        <w:t xml:space="preserve">an </w:t>
      </w:r>
      <w:r w:rsidRPr="00D600D1">
        <w:t xml:space="preserve">active imagination </w:t>
      </w:r>
      <w:r>
        <w:t>that</w:t>
      </w:r>
      <w:r w:rsidRPr="00D600D1">
        <w:t xml:space="preserve"> enables them to be creative at work.</w:t>
      </w:r>
    </w:p>
    <w:p w:rsidR="006B405F" w:rsidRDefault="006B405F" w:rsidP="006B405F">
      <w:r w:rsidRPr="00D600D1">
        <w:t>Second</w:t>
      </w:r>
      <w:r>
        <w:t xml:space="preserve"> is</w:t>
      </w:r>
      <w:r w:rsidRPr="00D600D1">
        <w:t xml:space="preserve"> an individual's confidence in </w:t>
      </w:r>
      <w:r>
        <w:t>his or her</w:t>
      </w:r>
      <w:r w:rsidRPr="00D600D1">
        <w:t xml:space="preserve"> ability to generate creative ideas, seek problem oriented tasks and have a strong belief in being able to produce the best ideas (</w:t>
      </w:r>
      <w:proofErr w:type="spellStart"/>
      <w:r w:rsidRPr="00D600D1">
        <w:t>Imber</w:t>
      </w:r>
      <w:proofErr w:type="spellEnd"/>
      <w:r w:rsidRPr="00D600D1">
        <w:t xml:space="preserve">, 2011). This self-belief plays a vital role in being motivated for creative thinking. </w:t>
      </w:r>
    </w:p>
    <w:p w:rsidR="006B405F" w:rsidRDefault="006B405F" w:rsidP="006B405F">
      <w:r w:rsidRPr="00D600D1">
        <w:t xml:space="preserve">Third, the person is resilient and able to respond positively to adversity or disappointments with a positive attitude and determination to continue working on their plans. Those who possess resilience can see value in failure or rejection and are significantly more creative at their work. </w:t>
      </w:r>
    </w:p>
    <w:p w:rsidR="006B405F" w:rsidRDefault="006B405F" w:rsidP="006B405F">
      <w:r w:rsidRPr="00D600D1">
        <w:t>Fourth, individuals possess a confidence in their intuition (</w:t>
      </w:r>
      <w:proofErr w:type="spellStart"/>
      <w:r w:rsidRPr="00D600D1">
        <w:t>Imber</w:t>
      </w:r>
      <w:proofErr w:type="spellEnd"/>
      <w:r w:rsidRPr="00D600D1">
        <w:t xml:space="preserve">, 2011).  This is often called </w:t>
      </w:r>
      <w:r w:rsidRPr="00D600D1">
        <w:rPr>
          <w:i/>
        </w:rPr>
        <w:t xml:space="preserve">gut </w:t>
      </w:r>
      <w:r w:rsidRPr="00D600D1">
        <w:t xml:space="preserve">thinking or feeling that relies upon making automatic judgments. This approach is in contrast to the much slower and deliberate analytical thinking. Being confident in intuitive decisions has a positive impact on fostering originality. </w:t>
      </w:r>
    </w:p>
    <w:p w:rsidR="006B405F" w:rsidRDefault="006B405F" w:rsidP="006B405F">
      <w:r w:rsidRPr="00D600D1">
        <w:t xml:space="preserve">Fifth, there exists a tolerance of ambiguity that translates into engaging in open ended problem solving situations and tasks. Individuals embrace ambiguity because it offers opportunities for autonomy, being flexible and working through dynamic problems. </w:t>
      </w:r>
    </w:p>
    <w:p w:rsidR="006B405F" w:rsidRDefault="006B405F" w:rsidP="006B405F">
      <w:r w:rsidRPr="00D600D1">
        <w:t>Sixth and last, the individual is able to make cross application of experiences by drawing upon experiences not related to work as a resource to apply knowledge in new ways. Creative problem solving is a form of wisdom because individuals apply their knowledge and experience to achieve the best outcomes (</w:t>
      </w:r>
      <w:proofErr w:type="spellStart"/>
      <w:r w:rsidRPr="00D600D1">
        <w:t>Muirhead</w:t>
      </w:r>
      <w:proofErr w:type="spellEnd"/>
      <w:r w:rsidRPr="00D600D1">
        <w:t>, 2011).</w:t>
      </w:r>
    </w:p>
    <w:p w:rsidR="006B405F" w:rsidRPr="00D600D1" w:rsidRDefault="006B405F" w:rsidP="006B405F">
      <w:pPr>
        <w:pStyle w:val="Heading3"/>
      </w:pPr>
      <w:r w:rsidRPr="00D600D1">
        <w:t>Research Trends and Educational Implications</w:t>
      </w:r>
    </w:p>
    <w:p w:rsidR="006B405F" w:rsidRDefault="006B405F" w:rsidP="006B405F">
      <w:r w:rsidRPr="00D600D1">
        <w:t>Since the early 1990s, new trends have emerged in creativity research. Previously, studies involved gifted and talented individuals. Focus has changed to investigating creativity for all learners. Methodologies changed from large studies seeking to measure creativity to qualitative research in teaching and learning situations to explore social and cultural values while striving to understand how creativity arises within specific academic disciplines (e.g. communication). Philosophical dialogs became more common among writers on the nature of creativity. Greater attention was given to developing ways to characterize creativity with less emphasis on measuring it. Collaboration and social systems were examined to identify their roles in enhancing individual creativity (Craft, 2006).</w:t>
      </w:r>
    </w:p>
    <w:p w:rsidR="006B405F" w:rsidRDefault="006B405F" w:rsidP="006B405F">
      <w:r w:rsidRPr="00D600D1">
        <w:t xml:space="preserve">The literature offers a wealth of insights and practical advice on helping distance educators (i.e. online) promote enduring creativity in their students. One of </w:t>
      </w:r>
      <w:r>
        <w:t xml:space="preserve">the </w:t>
      </w:r>
      <w:r w:rsidRPr="00D600D1">
        <w:t>primary traits of creative people is the ability to overcome resistance to their ideas. Sternberg (2003) related that</w:t>
      </w:r>
      <w:r>
        <w:t xml:space="preserve"> “</w:t>
      </w:r>
      <w:r w:rsidRPr="00D600D1">
        <w:t>I have often wondered why so many people start off their careers doing creative work and then vanish from the radar screen. I think I know at least one reason why: Sooner or later, they decide that being creative is not wort</w:t>
      </w:r>
      <w:r>
        <w:t>h the resistance and punishment”</w:t>
      </w:r>
      <w:r w:rsidRPr="00D600D1">
        <w:t xml:space="preserve"> (p. 113).</w:t>
      </w:r>
    </w:p>
    <w:p w:rsidR="006B405F" w:rsidRDefault="006B405F" w:rsidP="006B405F">
      <w:r w:rsidRPr="00D600D1">
        <w:t xml:space="preserve">Educators can prepare students to effectively manage creativity barriers by sharing personal narratives on how they effectively implemented plans in the midst of negative responses to their work. Grades and sharing positive comments can affirm quality work requiring substantial effort. Students should be encouraged to cultivate a determined mind set, which is essential for attempting difficult creative projects (Sawyer, 2012). Individuals must learn to take personal ownership of their successful efforts </w:t>
      </w:r>
      <w:r>
        <w:t>even</w:t>
      </w:r>
      <w:r w:rsidRPr="00D600D1">
        <w:t xml:space="preserve"> when efforts are disappointing or fail. Sternberg, Kaufman and </w:t>
      </w:r>
      <w:proofErr w:type="spellStart"/>
      <w:r w:rsidRPr="00D600D1">
        <w:t>Grigorenko</w:t>
      </w:r>
      <w:proofErr w:type="spellEnd"/>
      <w:r w:rsidRPr="00D600D1">
        <w:t xml:space="preserve"> (2008) argued that taking responsibility involves three elements: have a clear understanding of the creative process</w:t>
      </w:r>
      <w:r>
        <w:t>,</w:t>
      </w:r>
      <w:r w:rsidRPr="00D600D1">
        <w:t xml:space="preserve"> know when to criticize ideas</w:t>
      </w:r>
      <w:r>
        <w:t>,</w:t>
      </w:r>
      <w:r w:rsidRPr="00D600D1">
        <w:t xml:space="preserve"> and tak</w:t>
      </w:r>
      <w:r>
        <w:t>e</w:t>
      </w:r>
      <w:r w:rsidRPr="00D600D1">
        <w:t xml:space="preserve"> pride in excellent creative endeavors. </w:t>
      </w:r>
    </w:p>
    <w:p w:rsidR="006B405F" w:rsidRDefault="006B405F" w:rsidP="006B405F">
      <w:pPr>
        <w:pStyle w:val="Heading3"/>
      </w:pPr>
      <w:r>
        <w:t xml:space="preserve">Creativity, Resistance, and Online Learning Competencies: </w:t>
      </w:r>
      <w:r>
        <w:br/>
        <w:t>Industry vs. L</w:t>
      </w:r>
      <w:r w:rsidRPr="00DC0E36">
        <w:t>earning</w:t>
      </w:r>
      <w:r>
        <w:t>-O</w:t>
      </w:r>
      <w:r w:rsidRPr="00DC0E36">
        <w:t>rganization</w:t>
      </w:r>
      <w:r>
        <w:t>s</w:t>
      </w:r>
    </w:p>
    <w:p w:rsidR="006B405F" w:rsidRPr="00206708" w:rsidRDefault="006B405F" w:rsidP="006B405F">
      <w:pPr>
        <w:pStyle w:val="Heading4"/>
      </w:pPr>
      <w:r>
        <w:t>Creativity and c</w:t>
      </w:r>
      <w:r w:rsidRPr="00206708">
        <w:t>hange</w:t>
      </w:r>
    </w:p>
    <w:p w:rsidR="006B405F" w:rsidRDefault="006B405F" w:rsidP="006B405F">
      <w:r w:rsidRPr="001217AE">
        <w:t xml:space="preserve">There is a dichotomy between those who promote creativity and the advocacy of </w:t>
      </w:r>
      <w:r w:rsidRPr="00046DC5">
        <w:t>educational standardization when teaching graduate students (Hargreaves &amp; Dennis,</w:t>
      </w:r>
      <w:r w:rsidRPr="00D916CA">
        <w:t xml:space="preserve"> 2008).</w:t>
      </w:r>
      <w:r>
        <w:t xml:space="preserve"> T</w:t>
      </w:r>
      <w:r w:rsidRPr="001217AE">
        <w:t xml:space="preserve">he concepts and applications of creativity and standardization can be viewed </w:t>
      </w:r>
      <w:r>
        <w:t xml:space="preserve">as </w:t>
      </w:r>
      <w:r w:rsidRPr="001217AE">
        <w:t>diametrically opposed to one another</w:t>
      </w:r>
      <w:r>
        <w:t>. T</w:t>
      </w:r>
      <w:r w:rsidRPr="001217AE">
        <w:t xml:space="preserve">hose who are the architects of either paradigm might consider the other form of pedagogy disruptive to advancement of their preferred </w:t>
      </w:r>
      <w:r>
        <w:t xml:space="preserve">mental </w:t>
      </w:r>
      <w:r w:rsidRPr="001217AE">
        <w:t xml:space="preserve">model or administrative mandate. </w:t>
      </w:r>
    </w:p>
    <w:p w:rsidR="006B405F" w:rsidRDefault="006B405F" w:rsidP="006B405F">
      <w:r w:rsidRPr="001217AE">
        <w:t xml:space="preserve">To better recognize creativity one must define its parameters. There are numerous definitions of creativity, but common characteristics surface and become a distillate of the many characteristics that are </w:t>
      </w:r>
      <w:r>
        <w:t xml:space="preserve">already identified, </w:t>
      </w:r>
      <w:r w:rsidRPr="001217AE">
        <w:t xml:space="preserve">reviewed and evaluated (Sawyer, 2006; Sternberg, 2005).  Harris (1998) suggested creativity can be fractionalized and then assembled by those who practice cognitive associations into a composite manifestation of originality. For Harris, ability, attitude and process are the components that both enable and define an individual’s creative competency. In concert, one’s ability, attitude, and process can interact toward distinctive marginal improvements of ideas and alteration of existing ideas. Once transformed and implemented, ability, attitude and process can manifest a tangible configuration that might generate original or imaginative outcomes. </w:t>
      </w:r>
    </w:p>
    <w:p w:rsidR="006B405F" w:rsidRPr="00046DC5" w:rsidRDefault="006B405F" w:rsidP="006B405F">
      <w:pPr>
        <w:pStyle w:val="Heading4"/>
      </w:pPr>
      <w:r>
        <w:t>Resistance to c</w:t>
      </w:r>
      <w:r w:rsidRPr="00046DC5">
        <w:t>reativity</w:t>
      </w:r>
    </w:p>
    <w:p w:rsidR="006B405F" w:rsidRDefault="006B405F" w:rsidP="006B405F">
      <w:r w:rsidRPr="001217AE">
        <w:t>Resistance, acceptance or proactive initiatives toward the integration of creativity into the graduate academic setting may be skewed depending on the context, content and compliance of mandates established by an adm</w:t>
      </w:r>
      <w:r>
        <w:t xml:space="preserve">inistrative mission or official </w:t>
      </w:r>
      <w:r w:rsidRPr="00EA22D3">
        <w:t>(Hargreaves &amp; Dennis, 2008)</w:t>
      </w:r>
      <w:r>
        <w:t>. T</w:t>
      </w:r>
      <w:r w:rsidRPr="001217AE">
        <w:t xml:space="preserve">herefore a degree of conviction and courage might accompany the introduction of creative endeavors into the graduate classroom. Creative applications within graduate online classes may be crafted in a disparate fashion and </w:t>
      </w:r>
      <w:r>
        <w:t>be</w:t>
      </w:r>
      <w:r w:rsidRPr="001217AE">
        <w:t xml:space="preserve"> independently </w:t>
      </w:r>
      <w:r>
        <w:t>of</w:t>
      </w:r>
      <w:r w:rsidRPr="001217AE">
        <w:t xml:space="preserve"> collaborative applications, unanimous academic support</w:t>
      </w:r>
      <w:r>
        <w:t>,</w:t>
      </w:r>
      <w:r w:rsidRPr="001217AE">
        <w:t xml:space="preserve"> </w:t>
      </w:r>
      <w:r>
        <w:t>and</w:t>
      </w:r>
      <w:r w:rsidRPr="001217AE">
        <w:t xml:space="preserve"> without universal review or acceptance from influential educational governance</w:t>
      </w:r>
      <w:r>
        <w:t>,</w:t>
      </w:r>
      <w:r w:rsidRPr="001217AE">
        <w:t xml:space="preserve"> such as accrediting agencies. </w:t>
      </w:r>
    </w:p>
    <w:p w:rsidR="006B405F" w:rsidRDefault="006B405F" w:rsidP="006B405F">
      <w:r w:rsidRPr="001217AE">
        <w:t>Each creative endeavor, performed by independent advocates of creativity, may become an accumulation of anomalies embedded within guided change initiatives within a closed environment. Shifts in thinking that breakaway from prior truths</w:t>
      </w:r>
      <w:r>
        <w:t>,</w:t>
      </w:r>
      <w:r w:rsidRPr="001217AE">
        <w:t xml:space="preserve"> previously considered valid</w:t>
      </w:r>
      <w:r>
        <w:t>,</w:t>
      </w:r>
      <w:r w:rsidRPr="001217AE">
        <w:t xml:space="preserve"> might challenge objective criteria and engage perspectives that were discovered through rebooting concepts using a creative lens</w:t>
      </w:r>
      <w:r>
        <w:t xml:space="preserve"> </w:t>
      </w:r>
      <w:r w:rsidRPr="001217AE">
        <w:t>(Kuhn, 1962</w:t>
      </w:r>
      <w:proofErr w:type="gramStart"/>
      <w:r w:rsidRPr="001217AE">
        <w:t>) .</w:t>
      </w:r>
      <w:proofErr w:type="gramEnd"/>
    </w:p>
    <w:p w:rsidR="006B405F" w:rsidRPr="001217AE" w:rsidRDefault="006B405F" w:rsidP="006B405F">
      <w:pPr>
        <w:pStyle w:val="Heading4"/>
      </w:pPr>
      <w:r w:rsidRPr="001217AE">
        <w:t xml:space="preserve">Contemporary </w:t>
      </w:r>
      <w:r>
        <w:t>online graduate classes</w:t>
      </w:r>
    </w:p>
    <w:p w:rsidR="006B405F" w:rsidRPr="00BE5E47" w:rsidRDefault="006B405F" w:rsidP="006B405F">
      <w:r w:rsidRPr="001217AE">
        <w:t>Challenges and opportunities exist within graduate online learning environments</w:t>
      </w:r>
      <w:r>
        <w:t xml:space="preserve">. These challenges and opportunities </w:t>
      </w:r>
      <w:r w:rsidRPr="001217AE">
        <w:t xml:space="preserve">may transcend outcomes </w:t>
      </w:r>
      <w:r>
        <w:t>from</w:t>
      </w:r>
      <w:r w:rsidRPr="001217AE">
        <w:t xml:space="preserve"> administratively manufactured constraints, participant interaction</w:t>
      </w:r>
      <w:r>
        <w:t>,</w:t>
      </w:r>
      <w:r w:rsidRPr="001217AE">
        <w:t xml:space="preserve"> and orientation of learning environment constituents toward non-linear thinking </w:t>
      </w:r>
      <w:r w:rsidRPr="00BE5E47">
        <w:t xml:space="preserve">(De Bono, 1992).  Resistance to creativity, as a vehicle of knowledge development and advancement, </w:t>
      </w:r>
      <w:r>
        <w:t xml:space="preserve">can </w:t>
      </w:r>
      <w:r w:rsidRPr="00BE5E47">
        <w:t>therefore be associated with the rules of engagement designed by those who govern its tangibility and applications. This resistance is also associated with those who participate in the graduate online experience exhibiting creative initiatives.</w:t>
      </w:r>
    </w:p>
    <w:p w:rsidR="006B405F" w:rsidRDefault="006B405F" w:rsidP="006B405F">
      <w:r w:rsidRPr="001217AE">
        <w:t>An area of graduate education that adheres to rules of correspondence between an instructor’s tradition</w:t>
      </w:r>
      <w:r>
        <w:t>al</w:t>
      </w:r>
      <w:r w:rsidRPr="001217AE">
        <w:t xml:space="preserve"> teaching scripts, academic fundamentalism, and tested process models of behavior is evident in </w:t>
      </w:r>
      <w:r w:rsidRPr="0011099A">
        <w:t>the domain of graduate business education</w:t>
      </w:r>
      <w:r w:rsidRPr="001217AE">
        <w:t xml:space="preserve"> (Powell, 2007; </w:t>
      </w:r>
      <w:proofErr w:type="gramStart"/>
      <w:r w:rsidRPr="001217AE">
        <w:t>Patel &amp; Patel, 2006).</w:t>
      </w:r>
      <w:proofErr w:type="gramEnd"/>
      <w:r w:rsidRPr="001217AE">
        <w:t xml:space="preserve">  As a genre of education, graduate business educat</w:t>
      </w:r>
      <w:r>
        <w:t>ors</w:t>
      </w:r>
      <w:r w:rsidRPr="001217AE">
        <w:t xml:space="preserve"> can emphasize instrumental disciplines that bring closure to outcomes and follows mechanistic thinking (Vance, 2007). Business systems</w:t>
      </w:r>
      <w:r>
        <w:t>,</w:t>
      </w:r>
      <w:r w:rsidRPr="001217AE">
        <w:t xml:space="preserve"> unlike static university graduate business courses, are based on the </w:t>
      </w:r>
      <w:r w:rsidRPr="00E01CA0">
        <w:t>rigors of competition, turbulent markets, irregular strategies and germinal technologies</w:t>
      </w:r>
      <w:r>
        <w:t xml:space="preserve">. These factors contribute to a disruption of </w:t>
      </w:r>
      <w:r w:rsidRPr="00E01CA0">
        <w:t>existing conventional educational models</w:t>
      </w:r>
      <w:r>
        <w:t xml:space="preserve"> </w:t>
      </w:r>
      <w:r w:rsidRPr="00787868">
        <w:t>(Vance, 2007)</w:t>
      </w:r>
      <w:r w:rsidRPr="001217AE">
        <w:t>.The</w:t>
      </w:r>
      <w:r>
        <w:t>re are</w:t>
      </w:r>
      <w:r w:rsidRPr="001217AE">
        <w:t xml:space="preserve"> possible benefits to interrelated learning by managed associations between </w:t>
      </w:r>
      <w:r w:rsidRPr="00E01CA0">
        <w:t>business practices and graduate business curriculums</w:t>
      </w:r>
      <w:r>
        <w:t>. There are also benefits from</w:t>
      </w:r>
      <w:r w:rsidRPr="00E01CA0">
        <w:t xml:space="preserve"> advocacy</w:t>
      </w:r>
      <w:r w:rsidRPr="001217AE">
        <w:t xml:space="preserve"> </w:t>
      </w:r>
      <w:r>
        <w:t xml:space="preserve">and </w:t>
      </w:r>
      <w:r w:rsidRPr="001217AE">
        <w:t>use of creative contemporary and future learning modalities</w:t>
      </w:r>
      <w:r>
        <w:t>. W</w:t>
      </w:r>
      <w:r w:rsidRPr="001217AE">
        <w:t xml:space="preserve">ays of learning </w:t>
      </w:r>
      <w:r>
        <w:t>might be</w:t>
      </w:r>
      <w:r w:rsidRPr="001217AE">
        <w:t xml:space="preserve"> leverage</w:t>
      </w:r>
      <w:r>
        <w:t>d to promote</w:t>
      </w:r>
      <w:r w:rsidRPr="001217AE">
        <w:t xml:space="preserve"> creative thinking and business curriculum applications through new forms of educational deployment and new forms of creative technology in the online graduate classroom. </w:t>
      </w:r>
    </w:p>
    <w:p w:rsidR="006B405F" w:rsidRPr="001217AE" w:rsidRDefault="006B405F" w:rsidP="006B405F">
      <w:pPr>
        <w:pStyle w:val="Heading4"/>
      </w:pPr>
      <w:r w:rsidRPr="001217AE">
        <w:t xml:space="preserve">The </w:t>
      </w:r>
      <w:r>
        <w:t>a</w:t>
      </w:r>
      <w:r w:rsidRPr="001217AE">
        <w:t xml:space="preserve">pplication of </w:t>
      </w:r>
      <w:r>
        <w:t>c</w:t>
      </w:r>
      <w:r w:rsidRPr="0079773D">
        <w:t xml:space="preserve">reativity </w:t>
      </w:r>
      <w:r>
        <w:t>thought - e</w:t>
      </w:r>
      <w:r w:rsidRPr="0079773D">
        <w:t xml:space="preserve">nabling </w:t>
      </w:r>
      <w:r>
        <w:t>t</w:t>
      </w:r>
      <w:r w:rsidRPr="0079773D">
        <w:t>echnologies</w:t>
      </w:r>
    </w:p>
    <w:p w:rsidR="006B405F" w:rsidRDefault="006B405F" w:rsidP="006B405F">
      <w:r w:rsidRPr="001217AE">
        <w:t xml:space="preserve">Classifying enabling technologies that might leverage online graduate learning requires purposeful inquiry qualified by </w:t>
      </w:r>
      <w:r w:rsidRPr="0079773D">
        <w:t>desired educational outcomes</w:t>
      </w:r>
      <w:r>
        <w:t xml:space="preserve"> (</w:t>
      </w:r>
      <w:r w:rsidRPr="0079773D">
        <w:t>Hong &amp; Jung, 2010</w:t>
      </w:r>
      <w:r>
        <w:t>).</w:t>
      </w:r>
      <w:r w:rsidRPr="001217AE">
        <w:t xml:space="preserve"> Universities are currently using online platforms for educational delivery for instrumental reasons that provide a university and </w:t>
      </w:r>
      <w:r>
        <w:t>its</w:t>
      </w:r>
      <w:r w:rsidRPr="001217AE">
        <w:t xml:space="preserve"> students, time, place and form utility. For example, online classes provide </w:t>
      </w:r>
      <w:r w:rsidRPr="0079773D">
        <w:t>economies of scale as a channel of learning distribution. Online classes allow for economies of scope in terms of the educational channel’s</w:t>
      </w:r>
      <w:r w:rsidRPr="001217AE">
        <w:t xml:space="preserve"> reach to broad-based and geographically dispersed audiences</w:t>
      </w:r>
      <w:r>
        <w:t>. O</w:t>
      </w:r>
      <w:r w:rsidRPr="001217AE">
        <w:t xml:space="preserve">nline classes </w:t>
      </w:r>
      <w:r>
        <w:t xml:space="preserve">also facilitate </w:t>
      </w:r>
      <w:r w:rsidRPr="001217AE">
        <w:t>transparency of thought and reasoning for students</w:t>
      </w:r>
      <w:r>
        <w:t>. Additionally, o</w:t>
      </w:r>
      <w:r w:rsidRPr="001217AE">
        <w:t xml:space="preserve">nline classes </w:t>
      </w:r>
      <w:r>
        <w:t xml:space="preserve">provide </w:t>
      </w:r>
      <w:r w:rsidRPr="001217AE">
        <w:t xml:space="preserve">an alternative for courses not offered </w:t>
      </w:r>
      <w:r>
        <w:t xml:space="preserve">through </w:t>
      </w:r>
      <w:r w:rsidRPr="001217AE">
        <w:t>traditional classroom</w:t>
      </w:r>
      <w:r>
        <w:t xml:space="preserve"> venues (</w:t>
      </w:r>
      <w:r w:rsidRPr="001217AE">
        <w:t>due to budget constraints or limited university offerings during its class cycles</w:t>
      </w:r>
      <w:r>
        <w:t>)</w:t>
      </w:r>
      <w:r w:rsidRPr="001217AE">
        <w:t>.</w:t>
      </w:r>
    </w:p>
    <w:p w:rsidR="006B405F" w:rsidRDefault="006B405F" w:rsidP="006B405F">
      <w:r w:rsidRPr="001217AE">
        <w:t xml:space="preserve">Technology has emancipated educational learning from geographic constraints. The opportunities created by decades of technological advancements present occasion for public and private universities to better manage student enrolment growth. New technology addresses the demands of student consumers who prefer to attend classes that afford learning platforms and configurations not available </w:t>
      </w:r>
      <w:r>
        <w:t>in</w:t>
      </w:r>
      <w:r w:rsidRPr="001217AE">
        <w:t xml:space="preserve"> a physical classroom.  With the benefits of online graduate class offerings becoming transparent to university admini</w:t>
      </w:r>
      <w:r>
        <w:t>strators, teachers and students;</w:t>
      </w:r>
      <w:r w:rsidRPr="001217AE">
        <w:t xml:space="preserve"> </w:t>
      </w:r>
      <w:r w:rsidRPr="006754C6">
        <w:t>expansion of online graduate classes has gained momentum</w:t>
      </w:r>
      <w:r>
        <w:t>. This online class expansion has</w:t>
      </w:r>
      <w:r w:rsidRPr="006754C6">
        <w:t xml:space="preserve"> begun to parallel the growth of personal computers and mobile technology. Interestingly</w:t>
      </w:r>
      <w:r w:rsidRPr="001217AE">
        <w:t>, there exist no universal model for technological online graduate course enhancement</w:t>
      </w:r>
      <w:r>
        <w:t>,</w:t>
      </w:r>
      <w:r w:rsidRPr="001217AE">
        <w:t xml:space="preserve"> nor has there been an undivided standardization of technological tools used within the online domain (Green, 2011). </w:t>
      </w:r>
    </w:p>
    <w:p w:rsidR="006B405F" w:rsidRDefault="006B405F" w:rsidP="006B405F">
      <w:pPr>
        <w:pStyle w:val="Heading4"/>
      </w:pPr>
      <w:r w:rsidRPr="00FE2758">
        <w:t>Integrating Creativity in Online Classes: Web-Based Creativity Model</w:t>
      </w:r>
      <w:r w:rsidRPr="001713BD">
        <w:rPr>
          <w:vertAlign w:val="superscript"/>
        </w:rPr>
        <w:t>©</w:t>
      </w:r>
    </w:p>
    <w:p w:rsidR="006B405F" w:rsidRDefault="006B405F" w:rsidP="006B405F">
      <w:r w:rsidRPr="00FE2758">
        <w:t>Interactivity, fostered through web-based technology tools, is a foundation for integration of creativity in 21</w:t>
      </w:r>
      <w:r w:rsidRPr="00FE2758">
        <w:rPr>
          <w:vertAlign w:val="superscript"/>
        </w:rPr>
        <w:t>st</w:t>
      </w:r>
      <w:r w:rsidRPr="00FE2758">
        <w:t xml:space="preserve"> Century online classes (Bartholomew &amp; Glassman, 2012). There is an increasing array of technical tools which can be used to interactively engage students (</w:t>
      </w:r>
      <w:proofErr w:type="spellStart"/>
      <w:r w:rsidRPr="00FE2758">
        <w:t>Tunks</w:t>
      </w:r>
      <w:proofErr w:type="spellEnd"/>
      <w:r w:rsidRPr="00FE2758">
        <w:t xml:space="preserve">, 2012). </w:t>
      </w:r>
      <w:r>
        <w:t xml:space="preserve"> </w:t>
      </w:r>
      <w:r w:rsidRPr="00FE2758">
        <w:t>However, understanding how to use these tools for creativity in the online class to achieve online learning outcomes can be confusing.</w:t>
      </w:r>
    </w:p>
    <w:p w:rsidR="006B405F" w:rsidRDefault="006B405F" w:rsidP="006B405F">
      <w:r w:rsidRPr="00FE2758">
        <w:t xml:space="preserve">A suggested new approach, the </w:t>
      </w:r>
      <w:r w:rsidRPr="00B36EC5">
        <w:rPr>
          <w:i/>
        </w:rPr>
        <w:t>Web-Based Creativity Model</w:t>
      </w:r>
      <w:r w:rsidRPr="00FE2758">
        <w:rPr>
          <w:vertAlign w:val="superscript"/>
        </w:rPr>
        <w:t xml:space="preserve">©2012 Perlman, </w:t>
      </w:r>
      <w:proofErr w:type="spellStart"/>
      <w:r w:rsidRPr="00FE2758">
        <w:rPr>
          <w:vertAlign w:val="superscript"/>
        </w:rPr>
        <w:t>DeNigris&amp;Muirhead</w:t>
      </w:r>
      <w:proofErr w:type="spellEnd"/>
      <w:r w:rsidRPr="00FE2758">
        <w:t xml:space="preserve"> is proposed as a guide </w:t>
      </w:r>
      <w:r>
        <w:t>for</w:t>
      </w:r>
      <w:r w:rsidRPr="00FE2758">
        <w:t xml:space="preserve"> developing strategies using web-based tools to achieve creative interaction in graduate online classes.  The Web-Based Creativity Model</w:t>
      </w:r>
      <w:r w:rsidRPr="00FE2758">
        <w:rPr>
          <w:vertAlign w:val="superscript"/>
        </w:rPr>
        <w:t>©</w:t>
      </w:r>
      <w:r w:rsidRPr="00FE2758">
        <w:t xml:space="preserve"> (W-B Creativity Model</w:t>
      </w:r>
      <w:r w:rsidRPr="00FE2758">
        <w:rPr>
          <w:vertAlign w:val="superscript"/>
        </w:rPr>
        <w:t>©</w:t>
      </w:r>
      <w:r w:rsidRPr="00FE2758">
        <w:t>) concept is illustrated in Figure 1. The W-B Creativity Model</w:t>
      </w:r>
      <w:r w:rsidRPr="00FE2758">
        <w:rPr>
          <w:vertAlign w:val="superscript"/>
        </w:rPr>
        <w:t xml:space="preserve">© </w:t>
      </w:r>
      <w:r w:rsidRPr="00FE2758">
        <w:t xml:space="preserve">is based on the application of web-based technology tools to a new creativity domain concept: the </w:t>
      </w:r>
      <w:r w:rsidRPr="00FE2758">
        <w:rPr>
          <w:i/>
        </w:rPr>
        <w:t>online-class-creativity</w:t>
      </w:r>
      <w:r w:rsidRPr="00FE2758">
        <w:t xml:space="preserve"> (OCC).  </w:t>
      </w:r>
    </w:p>
    <w:p w:rsidR="006B405F" w:rsidRDefault="006B405F" w:rsidP="006B405F">
      <w:r>
        <w:rPr>
          <w:noProof/>
        </w:rPr>
        <w:drawing>
          <wp:inline distT="0" distB="0" distL="0" distR="0" wp14:anchorId="35BED652" wp14:editId="7530E1C6">
            <wp:extent cx="5512435" cy="4563110"/>
            <wp:effectExtent l="0" t="0" r="0" b="889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2435" cy="4563110"/>
                    </a:xfrm>
                    <a:prstGeom prst="rect">
                      <a:avLst/>
                    </a:prstGeom>
                    <a:noFill/>
                    <a:ln>
                      <a:noFill/>
                    </a:ln>
                  </pic:spPr>
                </pic:pic>
              </a:graphicData>
            </a:graphic>
          </wp:inline>
        </w:drawing>
      </w:r>
    </w:p>
    <w:p w:rsidR="006B405F" w:rsidRPr="00136713" w:rsidRDefault="006B405F" w:rsidP="006B405F">
      <w:pPr>
        <w:pStyle w:val="Caption"/>
        <w:spacing w:before="120" w:after="100"/>
        <w:jc w:val="center"/>
        <w:rPr>
          <w:rFonts w:ascii="Arial" w:hAnsi="Arial" w:cs="Arial"/>
          <w:color w:val="000000"/>
        </w:rPr>
      </w:pPr>
      <w:r>
        <w:rPr>
          <w:rFonts w:ascii="Arial" w:hAnsi="Arial" w:cs="Arial"/>
          <w:color w:val="000000"/>
        </w:rPr>
        <w:t xml:space="preserve">Figure 1: </w:t>
      </w:r>
      <w:r w:rsidRPr="00136713">
        <w:rPr>
          <w:rFonts w:ascii="Arial" w:hAnsi="Arial" w:cs="Arial"/>
          <w:color w:val="000000"/>
        </w:rPr>
        <w:t>The Web-Based (W-B) Creativity Model Concept</w:t>
      </w:r>
      <w:r w:rsidRPr="00136713">
        <w:rPr>
          <w:rFonts w:ascii="Arial" w:hAnsi="Arial" w:cs="Arial"/>
          <w:color w:val="000000"/>
          <w:vertAlign w:val="superscript"/>
        </w:rPr>
        <w:t xml:space="preserve">©2012 Perlman, </w:t>
      </w:r>
      <w:proofErr w:type="spellStart"/>
      <w:r w:rsidRPr="00136713">
        <w:rPr>
          <w:rFonts w:ascii="Arial" w:hAnsi="Arial" w:cs="Arial"/>
          <w:color w:val="000000"/>
          <w:vertAlign w:val="superscript"/>
        </w:rPr>
        <w:t>DeNigris&amp;Muirhead</w:t>
      </w:r>
      <w:proofErr w:type="spellEnd"/>
    </w:p>
    <w:p w:rsidR="006B405F" w:rsidRDefault="006B405F" w:rsidP="006B405F">
      <w:r w:rsidRPr="00FE2758">
        <w:t>The</w:t>
      </w:r>
      <w:r>
        <w:t xml:space="preserve"> OCC d</w:t>
      </w:r>
      <w:r w:rsidRPr="00FE2758">
        <w:t>omains are shown in Table 1. Three domain categories are proposed: (1) Student-Class Interconnectedness Creativity, (2) Integrative-Use of External Resources Creativity, and (3) Problem-Solving Creativity.</w:t>
      </w:r>
    </w:p>
    <w:p w:rsidR="006B405F" w:rsidRDefault="006B405F" w:rsidP="006B405F">
      <w:r w:rsidRPr="00FE2758">
        <w:t>Incorporated within each of the OCC domain</w:t>
      </w:r>
      <w:r>
        <w:t>s</w:t>
      </w:r>
      <w:r w:rsidRPr="00FE2758">
        <w:t xml:space="preserve"> are key components of online-learning and creativity. Shown in Table 1 is a breakdown of respective component</w:t>
      </w:r>
      <w:r>
        <w:t xml:space="preserve">s </w:t>
      </w:r>
      <w:r w:rsidRPr="00FE2758">
        <w:t>associated with</w:t>
      </w:r>
      <w:r>
        <w:t>in</w:t>
      </w:r>
      <w:r w:rsidRPr="00FE2758">
        <w:t xml:space="preserve"> each OCC domain.</w:t>
      </w:r>
      <w:r>
        <w:t xml:space="preserve"> Listed in Table 1 are t</w:t>
      </w:r>
      <w:r w:rsidRPr="00FE2758">
        <w:t>hree critical creativity components (</w:t>
      </w:r>
      <w:proofErr w:type="spellStart"/>
      <w:r w:rsidRPr="00FE2758">
        <w:t>Panagiotis</w:t>
      </w:r>
      <w:proofErr w:type="spellEnd"/>
      <w:r>
        <w:t xml:space="preserve"> </w:t>
      </w:r>
      <w:r w:rsidRPr="00FE2758">
        <w:t>&amp;</w:t>
      </w:r>
      <w:proofErr w:type="spellStart"/>
      <w:r w:rsidRPr="00FE2758">
        <w:t>Valtanen</w:t>
      </w:r>
      <w:proofErr w:type="spellEnd"/>
      <w:r w:rsidRPr="00FE2758">
        <w:t>, 2010</w:t>
      </w:r>
      <w:proofErr w:type="gramStart"/>
      <w:r w:rsidRPr="00FE2758">
        <w:t>;Weisburg</w:t>
      </w:r>
      <w:proofErr w:type="gramEnd"/>
      <w:r w:rsidRPr="00FE2758">
        <w:t>, 2010)</w:t>
      </w:r>
      <w:r>
        <w:t xml:space="preserve">. They are </w:t>
      </w:r>
    </w:p>
    <w:p w:rsidR="006B405F" w:rsidRDefault="006B405F" w:rsidP="006B405F">
      <w:pPr>
        <w:pStyle w:val="ListParagraph"/>
        <w:numPr>
          <w:ilvl w:val="0"/>
          <w:numId w:val="18"/>
        </w:numPr>
        <w:spacing w:before="60"/>
      </w:pPr>
      <w:r w:rsidRPr="00FE2758">
        <w:t xml:space="preserve">intentional activity within a </w:t>
      </w:r>
    </w:p>
    <w:p w:rsidR="006B405F" w:rsidRDefault="006B405F" w:rsidP="006B405F">
      <w:pPr>
        <w:pStyle w:val="ListParagraph"/>
        <w:numPr>
          <w:ilvl w:val="0"/>
          <w:numId w:val="18"/>
        </w:numPr>
        <w:spacing w:before="60"/>
      </w:pPr>
      <w:r w:rsidRPr="00FE2758">
        <w:t xml:space="preserve">specific environment </w:t>
      </w:r>
    </w:p>
    <w:p w:rsidR="006B405F" w:rsidRDefault="006B405F" w:rsidP="006B405F">
      <w:pPr>
        <w:pStyle w:val="ListParagraph"/>
        <w:numPr>
          <w:ilvl w:val="0"/>
          <w:numId w:val="18"/>
        </w:numPr>
        <w:spacing w:before="60"/>
      </w:pPr>
      <w:proofErr w:type="gramStart"/>
      <w:r w:rsidRPr="00FE2758">
        <w:t>producing</w:t>
      </w:r>
      <w:proofErr w:type="gramEnd"/>
      <w:r w:rsidRPr="00FE2758">
        <w:t xml:space="preserve"> new ideas and/or products.</w:t>
      </w:r>
      <w:r>
        <w:t xml:space="preserve"> </w:t>
      </w:r>
    </w:p>
    <w:p w:rsidR="006B405F" w:rsidRDefault="006B405F" w:rsidP="006B405F">
      <w:r>
        <w:t>Also listed in Table 1 are o</w:t>
      </w:r>
      <w:r w:rsidRPr="00FE2758">
        <w:t xml:space="preserve">nline-learning outcome components generalized into five skill and outcome based competencies. </w:t>
      </w:r>
      <w:r>
        <w:t xml:space="preserve"> I</w:t>
      </w:r>
      <w:r w:rsidRPr="00FE2758">
        <w:t>ncorporate</w:t>
      </w:r>
      <w:r>
        <w:t xml:space="preserve">d are </w:t>
      </w:r>
      <w:r w:rsidRPr="00FE2758">
        <w:t>both learning</w:t>
      </w:r>
      <w:r>
        <w:t>-</w:t>
      </w:r>
      <w:r w:rsidRPr="00FE2758">
        <w:t>organization</w:t>
      </w:r>
      <w:r>
        <w:t xml:space="preserve"> required</w:t>
      </w:r>
      <w:r w:rsidRPr="00FE2758">
        <w:t xml:space="preserve"> and industry</w:t>
      </w:r>
      <w:r>
        <w:t>-</w:t>
      </w:r>
      <w:r w:rsidRPr="00FE2758">
        <w:t>required competencies (Hong &amp; Jung, 2010; Jackson, 2010; Sun, Tsai, Finger, Chen &amp;</w:t>
      </w:r>
      <w:r>
        <w:t xml:space="preserve"> </w:t>
      </w:r>
      <w:proofErr w:type="spellStart"/>
      <w:r w:rsidRPr="00FE2758">
        <w:t>Yeh</w:t>
      </w:r>
      <w:proofErr w:type="spellEnd"/>
      <w:r w:rsidRPr="00FE2758">
        <w:t xml:space="preserve">, 2008; </w:t>
      </w:r>
      <w:proofErr w:type="spellStart"/>
      <w:r w:rsidRPr="00FE2758">
        <w:t>Vaatstra</w:t>
      </w:r>
      <w:proofErr w:type="spellEnd"/>
      <w:r>
        <w:t xml:space="preserve"> </w:t>
      </w:r>
      <w:r w:rsidRPr="00FE2758">
        <w:t>&amp;</w:t>
      </w:r>
      <w:r>
        <w:t xml:space="preserve"> </w:t>
      </w:r>
      <w:proofErr w:type="spellStart"/>
      <w:r w:rsidRPr="00FE2758">
        <w:t>DeVries</w:t>
      </w:r>
      <w:proofErr w:type="spellEnd"/>
      <w:r w:rsidRPr="00FE2758">
        <w:t xml:space="preserve">, 2007). Included </w:t>
      </w:r>
      <w:r>
        <w:t xml:space="preserve">in the competencies </w:t>
      </w:r>
      <w:r w:rsidRPr="00FE2758">
        <w:t xml:space="preserve">are </w:t>
      </w:r>
    </w:p>
    <w:p w:rsidR="006B405F" w:rsidRDefault="006B405F" w:rsidP="006B405F">
      <w:pPr>
        <w:pStyle w:val="ListParagraph"/>
        <w:numPr>
          <w:ilvl w:val="0"/>
          <w:numId w:val="17"/>
        </w:numPr>
        <w:spacing w:before="60"/>
      </w:pPr>
      <w:r w:rsidRPr="003E7F82">
        <w:rPr>
          <w:b/>
        </w:rPr>
        <w:t>Basic Skills</w:t>
      </w:r>
      <w:r w:rsidRPr="00FE2758">
        <w:t xml:space="preserve"> </w:t>
      </w:r>
      <w:r>
        <w:t xml:space="preserve">- </w:t>
      </w:r>
      <w:r w:rsidRPr="00FE2758">
        <w:t xml:space="preserve">speaking, writing, self-motivation, organization, time management, </w:t>
      </w:r>
    </w:p>
    <w:p w:rsidR="006B405F" w:rsidRDefault="006B405F" w:rsidP="006B405F">
      <w:pPr>
        <w:pStyle w:val="ListParagraph"/>
        <w:numPr>
          <w:ilvl w:val="0"/>
          <w:numId w:val="17"/>
        </w:numPr>
        <w:spacing w:before="60"/>
      </w:pPr>
      <w:r w:rsidRPr="003E7F82">
        <w:rPr>
          <w:b/>
        </w:rPr>
        <w:t>Theoretical Knowledge</w:t>
      </w:r>
      <w:r w:rsidRPr="00FE2758">
        <w:t xml:space="preserve"> </w:t>
      </w:r>
      <w:r>
        <w:t xml:space="preserve">- </w:t>
      </w:r>
      <w:r w:rsidRPr="00FE2758">
        <w:t xml:space="preserve">understanding of course foundational content, </w:t>
      </w:r>
    </w:p>
    <w:p w:rsidR="006B405F" w:rsidRDefault="006B405F" w:rsidP="006B405F">
      <w:pPr>
        <w:pStyle w:val="ListParagraph"/>
        <w:numPr>
          <w:ilvl w:val="0"/>
          <w:numId w:val="17"/>
        </w:numPr>
        <w:spacing w:before="60"/>
      </w:pPr>
      <w:r w:rsidRPr="003E7F82">
        <w:rPr>
          <w:b/>
        </w:rPr>
        <w:t>Interdisciplinary Knowledge</w:t>
      </w:r>
      <w:r>
        <w:t xml:space="preserve"> -</w:t>
      </w:r>
      <w:r w:rsidRPr="00FE2758">
        <w:t xml:space="preserve"> thinking and problem-solving across different degree disciplines,</w:t>
      </w:r>
    </w:p>
    <w:p w:rsidR="006B405F" w:rsidRDefault="006B405F" w:rsidP="006B405F">
      <w:pPr>
        <w:pStyle w:val="ListParagraph"/>
        <w:numPr>
          <w:ilvl w:val="0"/>
          <w:numId w:val="17"/>
        </w:numPr>
        <w:spacing w:before="60"/>
      </w:pPr>
      <w:r w:rsidRPr="003E7F82">
        <w:rPr>
          <w:b/>
        </w:rPr>
        <w:t>Application Skills</w:t>
      </w:r>
      <w:r w:rsidRPr="00FE2758">
        <w:t xml:space="preserve"> </w:t>
      </w:r>
      <w:r>
        <w:t xml:space="preserve">- </w:t>
      </w:r>
      <w:r w:rsidRPr="00FE2758">
        <w:t xml:space="preserve">problem solving ability to real world industry issues, critical thinking, and </w:t>
      </w:r>
    </w:p>
    <w:p w:rsidR="006B405F" w:rsidRDefault="006B405F" w:rsidP="006B405F">
      <w:pPr>
        <w:pStyle w:val="ListParagraph"/>
        <w:numPr>
          <w:ilvl w:val="0"/>
          <w:numId w:val="17"/>
        </w:numPr>
        <w:spacing w:before="60"/>
      </w:pPr>
      <w:r w:rsidRPr="003E7F82">
        <w:rPr>
          <w:b/>
        </w:rPr>
        <w:t>Innovation Skills</w:t>
      </w:r>
      <w:r w:rsidRPr="00FE2758">
        <w:t xml:space="preserve"> </w:t>
      </w:r>
      <w:r>
        <w:t xml:space="preserve">- </w:t>
      </w:r>
      <w:r w:rsidRPr="00FE2758">
        <w:t xml:space="preserve">the ability to bring value-added outcomes to real world industry issues, creative thinking. </w:t>
      </w:r>
    </w:p>
    <w:p w:rsidR="006B405F" w:rsidRDefault="006B405F" w:rsidP="006B405F">
      <w:pPr>
        <w:pStyle w:val="Heading5"/>
      </w:pPr>
      <w:r w:rsidRPr="00AA477A">
        <w:t>Table</w:t>
      </w:r>
      <w:r w:rsidRPr="00AA477A">
        <w:rPr>
          <w:sz w:val="24"/>
        </w:rPr>
        <w:t xml:space="preserve"> </w:t>
      </w:r>
      <w:r>
        <w:rPr>
          <w:sz w:val="24"/>
        </w:rPr>
        <w:t>1</w:t>
      </w:r>
    </w:p>
    <w:p w:rsidR="006B405F" w:rsidRPr="00AA477A" w:rsidRDefault="006B405F" w:rsidP="006B405F">
      <w:pPr>
        <w:pStyle w:val="Heading5"/>
        <w:rPr>
          <w:sz w:val="24"/>
          <w:vertAlign w:val="superscript"/>
        </w:rPr>
      </w:pPr>
      <w:r w:rsidRPr="00AA477A">
        <w:t>O</w:t>
      </w:r>
      <w:r>
        <w:t>nline</w:t>
      </w:r>
      <w:r w:rsidRPr="00AA477A">
        <w:t xml:space="preserve">-Class-Creativity </w:t>
      </w:r>
      <w:r w:rsidRPr="00AA477A">
        <w:rPr>
          <w:sz w:val="24"/>
        </w:rPr>
        <w:t xml:space="preserve">(OCC) </w:t>
      </w:r>
      <w:r w:rsidRPr="00AA477A">
        <w:t>Domain Components</w:t>
      </w:r>
    </w:p>
    <w:tbl>
      <w:tblPr>
        <w:tblW w:w="883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278"/>
        <w:gridCol w:w="990"/>
        <w:gridCol w:w="1080"/>
        <w:gridCol w:w="1260"/>
        <w:gridCol w:w="990"/>
        <w:gridCol w:w="900"/>
        <w:gridCol w:w="900"/>
        <w:gridCol w:w="720"/>
        <w:gridCol w:w="720"/>
      </w:tblGrid>
      <w:tr w:rsidR="006B405F" w:rsidRPr="00D95F08" w:rsidTr="006B405F">
        <w:trPr>
          <w:tblHeader/>
        </w:trPr>
        <w:tc>
          <w:tcPr>
            <w:tcW w:w="8838" w:type="dxa"/>
            <w:gridSpan w:val="9"/>
            <w:shd w:val="clear" w:color="auto" w:fill="B6DDE8"/>
          </w:tcPr>
          <w:p w:rsidR="006B405F" w:rsidRPr="00D95F08" w:rsidRDefault="006B405F" w:rsidP="006B405F">
            <w:pPr>
              <w:pStyle w:val="Heading2"/>
              <w:rPr>
                <w:rFonts w:cs="Arial"/>
                <w:sz w:val="20"/>
                <w:vertAlign w:val="superscript"/>
              </w:rPr>
            </w:pPr>
            <w:r w:rsidRPr="00D95F08">
              <w:rPr>
                <w:rFonts w:cs="Arial"/>
                <w:szCs w:val="24"/>
              </w:rPr>
              <w:t>Online-Class-Creativity (OCC) Domain</w:t>
            </w:r>
            <w:r>
              <w:rPr>
                <w:rFonts w:cs="Arial"/>
                <w:szCs w:val="24"/>
              </w:rPr>
              <w:t xml:space="preserve"> </w:t>
            </w:r>
            <w:r w:rsidRPr="00D95F08">
              <w:rPr>
                <w:rFonts w:cs="Arial"/>
                <w:szCs w:val="24"/>
              </w:rPr>
              <w:t>Components Table</w:t>
            </w:r>
            <w:r>
              <w:rPr>
                <w:rFonts w:cs="Arial"/>
                <w:szCs w:val="24"/>
              </w:rPr>
              <w:br/>
            </w:r>
            <w:r w:rsidRPr="00D95F08">
              <w:rPr>
                <w:rFonts w:cs="Arial"/>
                <w:sz w:val="20"/>
                <w:vertAlign w:val="superscript"/>
              </w:rPr>
              <w:t>©2012 Perlman, DeNigris, Muirhead</w:t>
            </w:r>
          </w:p>
          <w:p w:rsidR="006B405F" w:rsidRPr="00C63E3C" w:rsidRDefault="006B405F" w:rsidP="006B405F">
            <w:pPr>
              <w:spacing w:after="0"/>
              <w:rPr>
                <w:rFonts w:ascii="Arial" w:hAnsi="Arial" w:cs="Arial"/>
                <w:sz w:val="8"/>
                <w:szCs w:val="8"/>
              </w:rPr>
            </w:pPr>
          </w:p>
        </w:tc>
      </w:tr>
      <w:tr w:rsidR="006B405F" w:rsidRPr="00D95F08" w:rsidTr="006B405F">
        <w:tc>
          <w:tcPr>
            <w:tcW w:w="1278" w:type="dxa"/>
            <w:tcBorders>
              <w:top w:val="single" w:sz="24" w:space="0" w:color="auto"/>
              <w:bottom w:val="nil"/>
            </w:tcBorders>
            <w:shd w:val="clear" w:color="auto" w:fill="B6DDE8"/>
          </w:tcPr>
          <w:p w:rsidR="006B405F" w:rsidRPr="00D95F08" w:rsidRDefault="006B405F" w:rsidP="006B405F">
            <w:pPr>
              <w:spacing w:after="0"/>
              <w:rPr>
                <w:rFonts w:ascii="Arial" w:hAnsi="Arial" w:cs="Arial"/>
                <w:sz w:val="24"/>
                <w:szCs w:val="24"/>
              </w:rPr>
            </w:pPr>
          </w:p>
        </w:tc>
        <w:tc>
          <w:tcPr>
            <w:tcW w:w="5220" w:type="dxa"/>
            <w:gridSpan w:val="5"/>
            <w:tcBorders>
              <w:bottom w:val="single" w:sz="24" w:space="0" w:color="auto"/>
            </w:tcBorders>
          </w:tcPr>
          <w:p w:rsidR="006B405F" w:rsidRPr="00C63E3C" w:rsidRDefault="006B405F" w:rsidP="006B405F">
            <w:pPr>
              <w:spacing w:after="0"/>
              <w:jc w:val="center"/>
              <w:rPr>
                <w:rFonts w:ascii="Arial" w:hAnsi="Arial" w:cs="Arial"/>
                <w:b/>
                <w:sz w:val="8"/>
                <w:szCs w:val="8"/>
              </w:rPr>
            </w:pPr>
          </w:p>
          <w:p w:rsidR="006B405F" w:rsidRPr="00C63E3C" w:rsidRDefault="006B405F" w:rsidP="006B405F">
            <w:pPr>
              <w:spacing w:before="20" w:after="20"/>
              <w:jc w:val="center"/>
              <w:rPr>
                <w:rFonts w:ascii="Arial" w:hAnsi="Arial" w:cs="Arial"/>
                <w:b/>
                <w:sz w:val="18"/>
                <w:szCs w:val="18"/>
              </w:rPr>
            </w:pPr>
            <w:r w:rsidRPr="00C63E3C">
              <w:rPr>
                <w:rFonts w:ascii="Arial" w:hAnsi="Arial" w:cs="Arial"/>
                <w:b/>
                <w:sz w:val="18"/>
                <w:szCs w:val="18"/>
              </w:rPr>
              <w:t>Online Learning Outcome Components</w:t>
            </w:r>
            <w:r w:rsidRPr="00C63E3C">
              <w:rPr>
                <w:rFonts w:ascii="Arial" w:hAnsi="Arial" w:cs="Arial"/>
                <w:b/>
                <w:sz w:val="18"/>
                <w:szCs w:val="18"/>
                <w:vertAlign w:val="superscript"/>
              </w:rPr>
              <w:t>1</w:t>
            </w:r>
          </w:p>
          <w:p w:rsidR="006B405F" w:rsidRPr="00C63E3C" w:rsidRDefault="006B405F" w:rsidP="006B405F">
            <w:pPr>
              <w:spacing w:before="20" w:after="20"/>
              <w:jc w:val="center"/>
              <w:rPr>
                <w:rFonts w:ascii="Arial" w:hAnsi="Arial" w:cs="Arial"/>
                <w:sz w:val="18"/>
                <w:szCs w:val="18"/>
              </w:rPr>
            </w:pPr>
            <w:r w:rsidRPr="00C63E3C">
              <w:rPr>
                <w:rFonts w:ascii="Arial" w:hAnsi="Arial" w:cs="Arial"/>
                <w:sz w:val="18"/>
                <w:szCs w:val="18"/>
              </w:rPr>
              <w:t>(Skill And Outcome Based Competencies)</w:t>
            </w:r>
          </w:p>
          <w:p w:rsidR="006B405F" w:rsidRPr="00D95F08" w:rsidRDefault="006B405F" w:rsidP="006B405F">
            <w:pPr>
              <w:spacing w:before="20" w:after="20"/>
              <w:jc w:val="center"/>
              <w:rPr>
                <w:rFonts w:ascii="Arial" w:hAnsi="Arial" w:cs="Arial"/>
                <w:b/>
                <w:sz w:val="20"/>
              </w:rPr>
            </w:pPr>
            <w:r w:rsidRPr="00D95F08">
              <w:rPr>
                <w:rFonts w:ascii="Arial" w:hAnsi="Arial" w:cs="Arial"/>
                <w:sz w:val="16"/>
                <w:szCs w:val="16"/>
                <w:vertAlign w:val="superscript"/>
              </w:rPr>
              <w:t>1</w:t>
            </w:r>
            <w:r w:rsidRPr="00D95F08">
              <w:rPr>
                <w:rFonts w:ascii="Arial" w:hAnsi="Arial" w:cs="Arial"/>
                <w:sz w:val="16"/>
                <w:szCs w:val="16"/>
              </w:rPr>
              <w:t xml:space="preserve">Based on research by Hong &amp; Jung, 2010; Jackson, 2010; </w:t>
            </w:r>
            <w:r>
              <w:rPr>
                <w:rFonts w:ascii="Arial" w:hAnsi="Arial" w:cs="Arial"/>
                <w:sz w:val="16"/>
                <w:szCs w:val="16"/>
              </w:rPr>
              <w:br/>
            </w:r>
            <w:r w:rsidRPr="00D95F08">
              <w:rPr>
                <w:rFonts w:ascii="Arial" w:hAnsi="Arial" w:cs="Arial"/>
                <w:sz w:val="16"/>
                <w:szCs w:val="16"/>
              </w:rPr>
              <w:t>Sun, Tsai, Finger, Chen &amp;</w:t>
            </w:r>
            <w:r>
              <w:rPr>
                <w:rFonts w:ascii="Arial" w:hAnsi="Arial" w:cs="Arial"/>
                <w:sz w:val="16"/>
                <w:szCs w:val="16"/>
              </w:rPr>
              <w:t xml:space="preserve"> </w:t>
            </w:r>
            <w:proofErr w:type="spellStart"/>
            <w:r w:rsidRPr="00D95F08">
              <w:rPr>
                <w:rFonts w:ascii="Arial" w:hAnsi="Arial" w:cs="Arial"/>
                <w:sz w:val="16"/>
                <w:szCs w:val="16"/>
              </w:rPr>
              <w:t>Yeh</w:t>
            </w:r>
            <w:proofErr w:type="spellEnd"/>
            <w:r w:rsidRPr="00D95F08">
              <w:rPr>
                <w:rFonts w:ascii="Arial" w:hAnsi="Arial" w:cs="Arial"/>
                <w:sz w:val="16"/>
                <w:szCs w:val="16"/>
              </w:rPr>
              <w:t xml:space="preserve">, 2008; and </w:t>
            </w:r>
            <w:r>
              <w:rPr>
                <w:rFonts w:ascii="Arial" w:hAnsi="Arial" w:cs="Arial"/>
                <w:sz w:val="16"/>
                <w:szCs w:val="16"/>
              </w:rPr>
              <w:br/>
            </w:r>
            <w:proofErr w:type="spellStart"/>
            <w:r w:rsidRPr="00D95F08">
              <w:rPr>
                <w:rFonts w:ascii="Arial" w:hAnsi="Arial" w:cs="Arial"/>
                <w:sz w:val="16"/>
                <w:szCs w:val="16"/>
              </w:rPr>
              <w:t>Vaatstra</w:t>
            </w:r>
            <w:proofErr w:type="spellEnd"/>
            <w:r>
              <w:rPr>
                <w:rFonts w:ascii="Arial" w:hAnsi="Arial" w:cs="Arial"/>
                <w:sz w:val="16"/>
                <w:szCs w:val="16"/>
              </w:rPr>
              <w:t xml:space="preserve"> </w:t>
            </w:r>
            <w:r w:rsidRPr="00D95F08">
              <w:rPr>
                <w:rFonts w:ascii="Arial" w:hAnsi="Arial" w:cs="Arial"/>
                <w:sz w:val="16"/>
                <w:szCs w:val="16"/>
              </w:rPr>
              <w:t>&amp;</w:t>
            </w:r>
            <w:r>
              <w:rPr>
                <w:rFonts w:ascii="Arial" w:hAnsi="Arial" w:cs="Arial"/>
                <w:sz w:val="16"/>
                <w:szCs w:val="16"/>
              </w:rPr>
              <w:t xml:space="preserve"> </w:t>
            </w:r>
            <w:proofErr w:type="spellStart"/>
            <w:r w:rsidRPr="00D95F08">
              <w:rPr>
                <w:rFonts w:ascii="Arial" w:hAnsi="Arial" w:cs="Arial"/>
                <w:sz w:val="16"/>
                <w:szCs w:val="16"/>
              </w:rPr>
              <w:t>DeVries</w:t>
            </w:r>
            <w:proofErr w:type="spellEnd"/>
            <w:r w:rsidRPr="00D95F08">
              <w:rPr>
                <w:rFonts w:ascii="Arial" w:hAnsi="Arial" w:cs="Arial"/>
                <w:sz w:val="16"/>
                <w:szCs w:val="16"/>
              </w:rPr>
              <w:t>, 2007</w:t>
            </w:r>
          </w:p>
        </w:tc>
        <w:tc>
          <w:tcPr>
            <w:tcW w:w="2340" w:type="dxa"/>
            <w:gridSpan w:val="3"/>
          </w:tcPr>
          <w:p w:rsidR="006B405F" w:rsidRPr="00C63E3C" w:rsidRDefault="006B405F" w:rsidP="006B405F">
            <w:pPr>
              <w:spacing w:before="20" w:after="20"/>
              <w:jc w:val="center"/>
              <w:rPr>
                <w:rFonts w:ascii="Arial" w:hAnsi="Arial" w:cs="Arial"/>
                <w:b/>
                <w:sz w:val="8"/>
                <w:szCs w:val="8"/>
              </w:rPr>
            </w:pPr>
          </w:p>
          <w:p w:rsidR="006B405F" w:rsidRPr="00C63E3C" w:rsidRDefault="006B405F" w:rsidP="006B405F">
            <w:pPr>
              <w:spacing w:before="20" w:after="20"/>
              <w:jc w:val="center"/>
              <w:rPr>
                <w:rFonts w:ascii="Arial" w:hAnsi="Arial" w:cs="Arial"/>
                <w:b/>
                <w:sz w:val="18"/>
                <w:szCs w:val="18"/>
                <w:vertAlign w:val="superscript"/>
              </w:rPr>
            </w:pPr>
            <w:r w:rsidRPr="00C63E3C">
              <w:rPr>
                <w:rFonts w:ascii="Arial" w:hAnsi="Arial" w:cs="Arial"/>
                <w:b/>
                <w:sz w:val="18"/>
                <w:szCs w:val="18"/>
              </w:rPr>
              <w:t>Critical CreativityComponents</w:t>
            </w:r>
            <w:r w:rsidRPr="00C63E3C">
              <w:rPr>
                <w:rFonts w:ascii="Arial" w:hAnsi="Arial" w:cs="Arial"/>
                <w:b/>
                <w:sz w:val="18"/>
                <w:szCs w:val="18"/>
                <w:vertAlign w:val="superscript"/>
              </w:rPr>
              <w:t>2</w:t>
            </w:r>
          </w:p>
          <w:p w:rsidR="006B405F" w:rsidRPr="00D95F08" w:rsidRDefault="006B405F" w:rsidP="006B405F">
            <w:pPr>
              <w:spacing w:before="20" w:after="20"/>
              <w:jc w:val="center"/>
              <w:rPr>
                <w:rFonts w:ascii="Arial" w:hAnsi="Arial" w:cs="Arial"/>
                <w:sz w:val="16"/>
                <w:szCs w:val="16"/>
              </w:rPr>
            </w:pPr>
            <w:r w:rsidRPr="00D95F08">
              <w:rPr>
                <w:rFonts w:ascii="Arial" w:hAnsi="Arial" w:cs="Arial"/>
                <w:sz w:val="16"/>
                <w:szCs w:val="16"/>
                <w:vertAlign w:val="superscript"/>
              </w:rPr>
              <w:t>2</w:t>
            </w:r>
            <w:r w:rsidRPr="00D95F08">
              <w:rPr>
                <w:rFonts w:ascii="Arial" w:hAnsi="Arial" w:cs="Arial"/>
                <w:sz w:val="16"/>
                <w:szCs w:val="16"/>
              </w:rPr>
              <w:t xml:space="preserve">Based on research by </w:t>
            </w:r>
            <w:proofErr w:type="spellStart"/>
            <w:r w:rsidRPr="00D95F08">
              <w:rPr>
                <w:rFonts w:ascii="Arial" w:hAnsi="Arial" w:cs="Arial"/>
                <w:sz w:val="16"/>
                <w:szCs w:val="16"/>
              </w:rPr>
              <w:t>Panagiotis&amp;Valtanen</w:t>
            </w:r>
            <w:proofErr w:type="spellEnd"/>
            <w:r w:rsidRPr="00D95F08">
              <w:rPr>
                <w:rFonts w:ascii="Arial" w:hAnsi="Arial" w:cs="Arial"/>
                <w:sz w:val="16"/>
                <w:szCs w:val="16"/>
              </w:rPr>
              <w:t xml:space="preserve">, 2010 and </w:t>
            </w:r>
            <w:proofErr w:type="spellStart"/>
            <w:r w:rsidRPr="00D95F08">
              <w:rPr>
                <w:rFonts w:ascii="Arial" w:hAnsi="Arial" w:cs="Arial"/>
                <w:sz w:val="16"/>
                <w:szCs w:val="16"/>
              </w:rPr>
              <w:t>Weisburg</w:t>
            </w:r>
            <w:proofErr w:type="spellEnd"/>
            <w:r w:rsidRPr="00D95F08">
              <w:rPr>
                <w:rFonts w:ascii="Arial" w:hAnsi="Arial" w:cs="Arial"/>
                <w:sz w:val="16"/>
                <w:szCs w:val="16"/>
              </w:rPr>
              <w:t>, 2010</w:t>
            </w:r>
          </w:p>
        </w:tc>
      </w:tr>
      <w:tr w:rsidR="006B405F" w:rsidRPr="00D95F08" w:rsidTr="006B405F">
        <w:tc>
          <w:tcPr>
            <w:tcW w:w="1278" w:type="dxa"/>
            <w:tcBorders>
              <w:top w:val="nil"/>
              <w:right w:val="single" w:sz="24" w:space="0" w:color="auto"/>
            </w:tcBorders>
            <w:shd w:val="clear" w:color="auto" w:fill="B6DDE8"/>
            <w:vAlign w:val="bottom"/>
          </w:tcPr>
          <w:p w:rsidR="006B405F" w:rsidRPr="002567A7" w:rsidRDefault="006B405F" w:rsidP="006B405F">
            <w:pPr>
              <w:spacing w:after="0"/>
              <w:jc w:val="center"/>
              <w:rPr>
                <w:rFonts w:ascii="Arial" w:hAnsi="Arial" w:cs="Arial"/>
                <w:b/>
                <w:sz w:val="18"/>
                <w:szCs w:val="18"/>
                <w:vertAlign w:val="superscript"/>
              </w:rPr>
            </w:pPr>
            <w:r w:rsidRPr="002567A7">
              <w:rPr>
                <w:rFonts w:ascii="Arial" w:hAnsi="Arial" w:cs="Arial"/>
                <w:b/>
                <w:sz w:val="18"/>
                <w:szCs w:val="18"/>
              </w:rPr>
              <w:t>Online-Class-Creativity  (OCC) Domains</w:t>
            </w:r>
            <w:r w:rsidRPr="002567A7">
              <w:rPr>
                <w:rFonts w:ascii="Arial" w:hAnsi="Arial" w:cs="Arial"/>
                <w:sz w:val="18"/>
                <w:szCs w:val="18"/>
                <w:vertAlign w:val="superscript"/>
              </w:rPr>
              <w:t>©</w:t>
            </w:r>
          </w:p>
          <w:p w:rsidR="006B405F" w:rsidRPr="00EC1FE5" w:rsidRDefault="006B405F" w:rsidP="006B405F">
            <w:pPr>
              <w:spacing w:after="0"/>
              <w:jc w:val="center"/>
              <w:rPr>
                <w:rFonts w:ascii="Arial" w:hAnsi="Arial" w:cs="Arial"/>
                <w:b/>
                <w:sz w:val="4"/>
                <w:szCs w:val="4"/>
                <w:vertAlign w:val="superscript"/>
              </w:rPr>
            </w:pPr>
          </w:p>
          <w:p w:rsidR="006B405F" w:rsidRPr="00C63E3C" w:rsidRDefault="006B405F" w:rsidP="006B405F">
            <w:pPr>
              <w:spacing w:after="20"/>
              <w:rPr>
                <w:rFonts w:ascii="Arial" w:hAnsi="Arial" w:cs="Arial"/>
                <w:sz w:val="15"/>
                <w:szCs w:val="15"/>
              </w:rPr>
            </w:pPr>
            <w:r w:rsidRPr="00C63E3C">
              <w:rPr>
                <w:rFonts w:ascii="Arial" w:hAnsi="Arial" w:cs="Arial"/>
                <w:sz w:val="15"/>
                <w:szCs w:val="15"/>
              </w:rPr>
              <w:t>An overview of each domain is presented below</w:t>
            </w:r>
            <w:r w:rsidRPr="00C63E3C">
              <w:rPr>
                <w:rFonts w:ascii="Arial" w:hAnsi="Arial" w:cs="Arial"/>
                <w:b/>
                <w:sz w:val="15"/>
                <w:szCs w:val="15"/>
                <w:vertAlign w:val="superscript"/>
              </w:rPr>
              <w:t>3</w:t>
            </w:r>
          </w:p>
        </w:tc>
        <w:tc>
          <w:tcPr>
            <w:tcW w:w="990" w:type="dxa"/>
            <w:tcBorders>
              <w:top w:val="single" w:sz="24" w:space="0" w:color="auto"/>
              <w:left w:val="single" w:sz="24" w:space="0" w:color="auto"/>
              <w:bottom w:val="single" w:sz="24" w:space="0" w:color="auto"/>
              <w:right w:val="single" w:sz="24" w:space="0" w:color="auto"/>
            </w:tcBorders>
          </w:tcPr>
          <w:p w:rsidR="006B405F" w:rsidRPr="00EF3EFE" w:rsidRDefault="006B405F" w:rsidP="006B405F">
            <w:pPr>
              <w:spacing w:before="20" w:after="20"/>
              <w:jc w:val="center"/>
              <w:rPr>
                <w:rFonts w:ascii="Arial" w:hAnsi="Arial" w:cs="Arial"/>
                <w:sz w:val="13"/>
                <w:szCs w:val="13"/>
              </w:rPr>
            </w:pPr>
            <w:r w:rsidRPr="00EF3EFE">
              <w:rPr>
                <w:rFonts w:ascii="Arial" w:hAnsi="Arial" w:cs="Arial"/>
                <w:sz w:val="13"/>
                <w:szCs w:val="13"/>
              </w:rPr>
              <w:t xml:space="preserve">1. </w:t>
            </w:r>
            <w:r w:rsidRPr="00EF3EFE">
              <w:rPr>
                <w:rFonts w:ascii="Arial" w:hAnsi="Arial" w:cs="Arial"/>
                <w:sz w:val="13"/>
                <w:szCs w:val="13"/>
              </w:rPr>
              <w:br/>
            </w:r>
            <w:r w:rsidRPr="00EF3EFE">
              <w:rPr>
                <w:rFonts w:ascii="Arial" w:hAnsi="Arial" w:cs="Arial"/>
                <w:b/>
                <w:sz w:val="13"/>
                <w:szCs w:val="13"/>
              </w:rPr>
              <w:t>Basic Skills</w:t>
            </w:r>
            <w:r w:rsidRPr="00EF3EFE">
              <w:rPr>
                <w:rFonts w:ascii="Arial" w:hAnsi="Arial" w:cs="Arial"/>
                <w:sz w:val="13"/>
                <w:szCs w:val="13"/>
              </w:rPr>
              <w:t>: speaking, writing, self-motivation, organization, time management</w:t>
            </w:r>
          </w:p>
        </w:tc>
        <w:tc>
          <w:tcPr>
            <w:tcW w:w="1080" w:type="dxa"/>
            <w:tcBorders>
              <w:top w:val="single" w:sz="24" w:space="0" w:color="auto"/>
              <w:left w:val="single" w:sz="24" w:space="0" w:color="auto"/>
              <w:bottom w:val="single" w:sz="24" w:space="0" w:color="auto"/>
              <w:right w:val="single" w:sz="24" w:space="0" w:color="auto"/>
            </w:tcBorders>
          </w:tcPr>
          <w:p w:rsidR="006B405F" w:rsidRPr="00EF3EFE" w:rsidRDefault="006B405F" w:rsidP="006B405F">
            <w:pPr>
              <w:spacing w:before="20" w:after="20"/>
              <w:jc w:val="center"/>
              <w:rPr>
                <w:rFonts w:ascii="Arial" w:hAnsi="Arial" w:cs="Arial"/>
                <w:sz w:val="13"/>
                <w:szCs w:val="13"/>
              </w:rPr>
            </w:pPr>
            <w:r w:rsidRPr="00EF3EFE">
              <w:rPr>
                <w:rFonts w:ascii="Arial" w:hAnsi="Arial" w:cs="Arial"/>
                <w:sz w:val="13"/>
                <w:szCs w:val="13"/>
              </w:rPr>
              <w:t xml:space="preserve">2. </w:t>
            </w:r>
            <w:r w:rsidRPr="00EF3EFE">
              <w:rPr>
                <w:rFonts w:ascii="Arial" w:hAnsi="Arial" w:cs="Arial"/>
                <w:sz w:val="13"/>
                <w:szCs w:val="13"/>
              </w:rPr>
              <w:br/>
            </w:r>
            <w:r w:rsidRPr="00EF3EFE">
              <w:rPr>
                <w:rFonts w:ascii="Arial" w:hAnsi="Arial" w:cs="Arial"/>
                <w:b/>
                <w:sz w:val="13"/>
                <w:szCs w:val="13"/>
              </w:rPr>
              <w:t>Theoretical Knowledge</w:t>
            </w:r>
            <w:r w:rsidRPr="00EF3EFE">
              <w:rPr>
                <w:rFonts w:ascii="Arial" w:hAnsi="Arial" w:cs="Arial"/>
                <w:sz w:val="13"/>
                <w:szCs w:val="13"/>
              </w:rPr>
              <w:t>: understanding of course foundational content</w:t>
            </w:r>
          </w:p>
        </w:tc>
        <w:tc>
          <w:tcPr>
            <w:tcW w:w="1260" w:type="dxa"/>
            <w:tcBorders>
              <w:top w:val="single" w:sz="24" w:space="0" w:color="auto"/>
              <w:left w:val="single" w:sz="24" w:space="0" w:color="auto"/>
              <w:bottom w:val="single" w:sz="24" w:space="0" w:color="auto"/>
              <w:right w:val="single" w:sz="24" w:space="0" w:color="auto"/>
            </w:tcBorders>
          </w:tcPr>
          <w:p w:rsidR="006B405F" w:rsidRPr="00EF3EFE" w:rsidRDefault="006B405F" w:rsidP="006B405F">
            <w:pPr>
              <w:spacing w:before="20" w:after="20"/>
              <w:jc w:val="center"/>
              <w:rPr>
                <w:rFonts w:ascii="Arial" w:hAnsi="Arial" w:cs="Arial"/>
                <w:sz w:val="13"/>
                <w:szCs w:val="13"/>
              </w:rPr>
            </w:pPr>
            <w:r w:rsidRPr="00EF3EFE">
              <w:rPr>
                <w:rFonts w:ascii="Arial" w:hAnsi="Arial" w:cs="Arial"/>
                <w:sz w:val="13"/>
                <w:szCs w:val="13"/>
              </w:rPr>
              <w:t xml:space="preserve">3. </w:t>
            </w:r>
            <w:r w:rsidRPr="00EF3EFE">
              <w:rPr>
                <w:rFonts w:ascii="Arial" w:hAnsi="Arial" w:cs="Arial"/>
                <w:b/>
                <w:sz w:val="13"/>
                <w:szCs w:val="13"/>
              </w:rPr>
              <w:t>Interdisciplinary Knowledge</w:t>
            </w:r>
            <w:r w:rsidRPr="00EF3EFE">
              <w:rPr>
                <w:rFonts w:ascii="Arial" w:hAnsi="Arial" w:cs="Arial"/>
                <w:sz w:val="13"/>
                <w:szCs w:val="13"/>
              </w:rPr>
              <w:t>: thinking and problem-solving across different degree disciplines</w:t>
            </w:r>
          </w:p>
        </w:tc>
        <w:tc>
          <w:tcPr>
            <w:tcW w:w="990" w:type="dxa"/>
            <w:tcBorders>
              <w:top w:val="single" w:sz="24" w:space="0" w:color="auto"/>
              <w:left w:val="single" w:sz="24" w:space="0" w:color="auto"/>
              <w:bottom w:val="single" w:sz="24" w:space="0" w:color="auto"/>
              <w:right w:val="single" w:sz="24" w:space="0" w:color="auto"/>
            </w:tcBorders>
          </w:tcPr>
          <w:p w:rsidR="006B405F" w:rsidRPr="00EF3EFE" w:rsidRDefault="006B405F" w:rsidP="006B405F">
            <w:pPr>
              <w:spacing w:before="20" w:after="20"/>
              <w:jc w:val="center"/>
              <w:rPr>
                <w:rFonts w:ascii="Arial" w:hAnsi="Arial" w:cs="Arial"/>
                <w:sz w:val="13"/>
                <w:szCs w:val="13"/>
              </w:rPr>
            </w:pPr>
            <w:r w:rsidRPr="00EF3EFE">
              <w:rPr>
                <w:rFonts w:ascii="Arial" w:hAnsi="Arial" w:cs="Arial"/>
                <w:sz w:val="13"/>
                <w:szCs w:val="13"/>
              </w:rPr>
              <w:t xml:space="preserve">4. </w:t>
            </w:r>
            <w:r w:rsidRPr="00EF3EFE">
              <w:rPr>
                <w:rFonts w:ascii="Arial" w:hAnsi="Arial" w:cs="Arial"/>
                <w:b/>
                <w:sz w:val="13"/>
                <w:szCs w:val="13"/>
              </w:rPr>
              <w:t>Application Skills</w:t>
            </w:r>
            <w:r w:rsidRPr="00EF3EFE">
              <w:rPr>
                <w:rFonts w:ascii="Arial" w:hAnsi="Arial" w:cs="Arial"/>
                <w:sz w:val="13"/>
                <w:szCs w:val="13"/>
              </w:rPr>
              <w:t>: problem solving ability to real world industry issues, critical thinking</w:t>
            </w:r>
          </w:p>
        </w:tc>
        <w:tc>
          <w:tcPr>
            <w:tcW w:w="900" w:type="dxa"/>
            <w:tcBorders>
              <w:top w:val="single" w:sz="24" w:space="0" w:color="auto"/>
              <w:left w:val="single" w:sz="24" w:space="0" w:color="auto"/>
              <w:bottom w:val="single" w:sz="24" w:space="0" w:color="auto"/>
              <w:right w:val="single" w:sz="24" w:space="0" w:color="auto"/>
            </w:tcBorders>
          </w:tcPr>
          <w:p w:rsidR="006B405F" w:rsidRPr="00EF3EFE" w:rsidRDefault="006B405F" w:rsidP="006B405F">
            <w:pPr>
              <w:spacing w:before="20" w:after="20"/>
              <w:jc w:val="center"/>
              <w:rPr>
                <w:rFonts w:ascii="Arial" w:hAnsi="Arial" w:cs="Arial"/>
                <w:sz w:val="13"/>
                <w:szCs w:val="13"/>
              </w:rPr>
            </w:pPr>
            <w:r w:rsidRPr="00EF3EFE">
              <w:rPr>
                <w:rFonts w:ascii="Arial" w:hAnsi="Arial" w:cs="Arial"/>
                <w:sz w:val="13"/>
                <w:szCs w:val="13"/>
              </w:rPr>
              <w:t xml:space="preserve">5. </w:t>
            </w:r>
            <w:r w:rsidRPr="00EF3EFE">
              <w:rPr>
                <w:rFonts w:ascii="Arial" w:hAnsi="Arial" w:cs="Arial"/>
                <w:b/>
                <w:sz w:val="13"/>
                <w:szCs w:val="13"/>
              </w:rPr>
              <w:t>Innovative Skills</w:t>
            </w:r>
            <w:r w:rsidRPr="00EF3EFE">
              <w:rPr>
                <w:rFonts w:ascii="Arial" w:hAnsi="Arial" w:cs="Arial"/>
                <w:sz w:val="13"/>
                <w:szCs w:val="13"/>
              </w:rPr>
              <w:t>:  value-added outcomes to real world industry issues, creative thinking</w:t>
            </w:r>
          </w:p>
        </w:tc>
        <w:tc>
          <w:tcPr>
            <w:tcW w:w="900" w:type="dxa"/>
          </w:tcPr>
          <w:p w:rsidR="006B405F" w:rsidRPr="00EF3EFE" w:rsidRDefault="006B405F" w:rsidP="006B405F">
            <w:pPr>
              <w:spacing w:before="20" w:after="20"/>
              <w:jc w:val="center"/>
              <w:rPr>
                <w:rFonts w:ascii="Arial" w:hAnsi="Arial" w:cs="Arial"/>
                <w:sz w:val="12"/>
                <w:szCs w:val="12"/>
              </w:rPr>
            </w:pPr>
            <w:r w:rsidRPr="00EF3EFE">
              <w:rPr>
                <w:rFonts w:ascii="Arial" w:hAnsi="Arial" w:cs="Arial"/>
                <w:sz w:val="12"/>
                <w:szCs w:val="12"/>
              </w:rPr>
              <w:t xml:space="preserve">1. </w:t>
            </w:r>
            <w:r w:rsidRPr="00EF3EFE">
              <w:rPr>
                <w:rFonts w:ascii="Arial" w:hAnsi="Arial" w:cs="Arial"/>
                <w:b/>
                <w:sz w:val="12"/>
                <w:szCs w:val="12"/>
              </w:rPr>
              <w:t>Intentional Activity</w:t>
            </w:r>
          </w:p>
        </w:tc>
        <w:tc>
          <w:tcPr>
            <w:tcW w:w="720" w:type="dxa"/>
          </w:tcPr>
          <w:p w:rsidR="006B405F" w:rsidRPr="00EF3EFE" w:rsidRDefault="006B405F" w:rsidP="006B405F">
            <w:pPr>
              <w:spacing w:before="20" w:after="20"/>
              <w:jc w:val="center"/>
              <w:rPr>
                <w:rFonts w:ascii="Arial" w:hAnsi="Arial" w:cs="Arial"/>
                <w:sz w:val="12"/>
                <w:szCs w:val="12"/>
              </w:rPr>
            </w:pPr>
            <w:r w:rsidRPr="00EF3EFE">
              <w:rPr>
                <w:rFonts w:ascii="Arial" w:hAnsi="Arial" w:cs="Arial"/>
                <w:sz w:val="12"/>
                <w:szCs w:val="12"/>
              </w:rPr>
              <w:t xml:space="preserve">2. </w:t>
            </w:r>
            <w:r w:rsidRPr="00EF3EFE">
              <w:rPr>
                <w:rFonts w:ascii="Arial" w:hAnsi="Arial" w:cs="Arial"/>
                <w:b/>
                <w:sz w:val="12"/>
                <w:szCs w:val="12"/>
              </w:rPr>
              <w:t>Specific Environ-</w:t>
            </w:r>
            <w:proofErr w:type="spellStart"/>
            <w:r w:rsidRPr="00EF3EFE">
              <w:rPr>
                <w:rFonts w:ascii="Arial" w:hAnsi="Arial" w:cs="Arial"/>
                <w:b/>
                <w:sz w:val="12"/>
                <w:szCs w:val="12"/>
              </w:rPr>
              <w:t>ment</w:t>
            </w:r>
            <w:proofErr w:type="spellEnd"/>
          </w:p>
        </w:tc>
        <w:tc>
          <w:tcPr>
            <w:tcW w:w="720" w:type="dxa"/>
          </w:tcPr>
          <w:p w:rsidR="006B405F" w:rsidRPr="00EF3EFE" w:rsidRDefault="006B405F" w:rsidP="006B405F">
            <w:pPr>
              <w:spacing w:before="20" w:after="20"/>
              <w:jc w:val="center"/>
              <w:rPr>
                <w:rFonts w:ascii="Arial" w:hAnsi="Arial" w:cs="Arial"/>
                <w:sz w:val="12"/>
                <w:szCs w:val="12"/>
              </w:rPr>
            </w:pPr>
            <w:r w:rsidRPr="00EF3EFE">
              <w:rPr>
                <w:rFonts w:ascii="Arial" w:hAnsi="Arial" w:cs="Arial"/>
                <w:sz w:val="12"/>
                <w:szCs w:val="12"/>
              </w:rPr>
              <w:t xml:space="preserve">3. </w:t>
            </w:r>
            <w:r w:rsidRPr="00EF3EFE">
              <w:rPr>
                <w:rFonts w:ascii="Arial" w:hAnsi="Arial" w:cs="Arial"/>
                <w:sz w:val="12"/>
                <w:szCs w:val="12"/>
              </w:rPr>
              <w:br/>
            </w:r>
            <w:r w:rsidRPr="00EF3EFE">
              <w:rPr>
                <w:rFonts w:ascii="Arial" w:hAnsi="Arial" w:cs="Arial"/>
                <w:b/>
                <w:sz w:val="12"/>
                <w:szCs w:val="12"/>
              </w:rPr>
              <w:t>idea or product creation</w:t>
            </w:r>
          </w:p>
        </w:tc>
      </w:tr>
      <w:tr w:rsidR="006B405F" w:rsidRPr="00D95F08" w:rsidTr="006B405F">
        <w:tc>
          <w:tcPr>
            <w:tcW w:w="1278" w:type="dxa"/>
            <w:tcBorders>
              <w:right w:val="single" w:sz="24" w:space="0" w:color="auto"/>
            </w:tcBorders>
            <w:shd w:val="clear" w:color="auto" w:fill="B6DDE8"/>
          </w:tcPr>
          <w:p w:rsidR="006B405F" w:rsidRDefault="006B405F" w:rsidP="006B405F">
            <w:pPr>
              <w:spacing w:before="20" w:after="20"/>
              <w:rPr>
                <w:rFonts w:ascii="Arial" w:hAnsi="Arial" w:cs="Arial"/>
                <w:sz w:val="15"/>
                <w:szCs w:val="15"/>
              </w:rPr>
            </w:pPr>
            <w:r w:rsidRPr="00C63E3C">
              <w:rPr>
                <w:rFonts w:ascii="Arial" w:hAnsi="Arial" w:cs="Arial"/>
                <w:sz w:val="15"/>
                <w:szCs w:val="15"/>
              </w:rPr>
              <w:t xml:space="preserve">1. </w:t>
            </w:r>
            <w:r w:rsidRPr="00C63E3C">
              <w:rPr>
                <w:rFonts w:ascii="Arial" w:hAnsi="Arial" w:cs="Arial"/>
                <w:sz w:val="15"/>
                <w:szCs w:val="15"/>
              </w:rPr>
              <w:br/>
              <w:t>Student-Class Interconnected-ness</w:t>
            </w:r>
          </w:p>
          <w:p w:rsidR="006B405F" w:rsidRPr="00C63E3C" w:rsidRDefault="006B405F" w:rsidP="006B405F">
            <w:pPr>
              <w:spacing w:before="20" w:after="20"/>
              <w:rPr>
                <w:rFonts w:ascii="Arial" w:hAnsi="Arial" w:cs="Arial"/>
                <w:sz w:val="15"/>
                <w:szCs w:val="15"/>
              </w:rPr>
            </w:pPr>
            <w:r w:rsidRPr="00C63E3C">
              <w:rPr>
                <w:rFonts w:ascii="Arial" w:hAnsi="Arial" w:cs="Arial"/>
                <w:sz w:val="8"/>
                <w:szCs w:val="8"/>
              </w:rPr>
              <w:t xml:space="preserve"> </w:t>
            </w:r>
            <w:r w:rsidRPr="00C63E3C">
              <w:rPr>
                <w:rFonts w:ascii="Arial" w:hAnsi="Arial" w:cs="Arial"/>
                <w:sz w:val="8"/>
                <w:szCs w:val="8"/>
              </w:rPr>
              <w:br/>
            </w:r>
            <w:r w:rsidRPr="00C63E3C">
              <w:rPr>
                <w:rFonts w:ascii="Arial" w:hAnsi="Arial" w:cs="Arial"/>
                <w:sz w:val="15"/>
                <w:szCs w:val="15"/>
              </w:rPr>
              <w:t>Creativity</w:t>
            </w:r>
          </w:p>
        </w:tc>
        <w:tc>
          <w:tcPr>
            <w:tcW w:w="990" w:type="dxa"/>
            <w:tcBorders>
              <w:top w:val="single" w:sz="24" w:space="0" w:color="auto"/>
              <w:left w:val="single" w:sz="24" w:space="0" w:color="auto"/>
              <w:bottom w:val="single" w:sz="24" w:space="0" w:color="auto"/>
              <w:right w:val="single" w:sz="24" w:space="0" w:color="auto"/>
            </w:tcBorders>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c>
          <w:tcPr>
            <w:tcW w:w="1080" w:type="dxa"/>
            <w:tcBorders>
              <w:top w:val="single" w:sz="24" w:space="0" w:color="auto"/>
              <w:left w:val="single" w:sz="24" w:space="0" w:color="auto"/>
              <w:bottom w:val="single" w:sz="24" w:space="0" w:color="auto"/>
              <w:right w:val="single" w:sz="24" w:space="0" w:color="auto"/>
            </w:tcBorders>
            <w:vAlign w:val="center"/>
          </w:tcPr>
          <w:p w:rsidR="006B405F" w:rsidRPr="00D95F08" w:rsidRDefault="006B405F" w:rsidP="006B405F">
            <w:pPr>
              <w:spacing w:after="0"/>
              <w:jc w:val="center"/>
              <w:rPr>
                <w:rFonts w:ascii="Arial" w:hAnsi="Arial" w:cs="Arial"/>
                <w:sz w:val="20"/>
              </w:rPr>
            </w:pPr>
          </w:p>
        </w:tc>
        <w:tc>
          <w:tcPr>
            <w:tcW w:w="1260" w:type="dxa"/>
            <w:tcBorders>
              <w:top w:val="single" w:sz="24" w:space="0" w:color="auto"/>
              <w:left w:val="single" w:sz="24" w:space="0" w:color="auto"/>
              <w:bottom w:val="single" w:sz="24" w:space="0" w:color="auto"/>
              <w:right w:val="single" w:sz="24" w:space="0" w:color="auto"/>
            </w:tcBorders>
            <w:vAlign w:val="center"/>
          </w:tcPr>
          <w:p w:rsidR="006B405F" w:rsidRPr="00D95F08" w:rsidRDefault="006B405F" w:rsidP="006B405F">
            <w:pPr>
              <w:spacing w:after="0"/>
              <w:jc w:val="center"/>
              <w:rPr>
                <w:rFonts w:ascii="Arial" w:hAnsi="Arial" w:cs="Arial"/>
                <w:sz w:val="20"/>
              </w:rPr>
            </w:pPr>
          </w:p>
        </w:tc>
        <w:tc>
          <w:tcPr>
            <w:tcW w:w="990" w:type="dxa"/>
            <w:tcBorders>
              <w:top w:val="single" w:sz="24" w:space="0" w:color="auto"/>
              <w:left w:val="single" w:sz="24" w:space="0" w:color="auto"/>
              <w:bottom w:val="single" w:sz="24" w:space="0" w:color="auto"/>
              <w:right w:val="single" w:sz="24" w:space="0" w:color="auto"/>
            </w:tcBorders>
            <w:vAlign w:val="center"/>
          </w:tcPr>
          <w:p w:rsidR="006B405F" w:rsidRPr="00D95F08" w:rsidRDefault="006B405F" w:rsidP="006B405F">
            <w:pPr>
              <w:spacing w:after="0"/>
              <w:jc w:val="center"/>
              <w:rPr>
                <w:rFonts w:ascii="Arial" w:hAnsi="Arial" w:cs="Arial"/>
                <w:sz w:val="20"/>
              </w:rPr>
            </w:pPr>
          </w:p>
        </w:tc>
        <w:tc>
          <w:tcPr>
            <w:tcW w:w="900" w:type="dxa"/>
            <w:tcBorders>
              <w:top w:val="single" w:sz="24" w:space="0" w:color="auto"/>
              <w:left w:val="single" w:sz="24" w:space="0" w:color="auto"/>
              <w:bottom w:val="single" w:sz="24" w:space="0" w:color="auto"/>
              <w:right w:val="single" w:sz="24" w:space="0" w:color="auto"/>
            </w:tcBorders>
            <w:vAlign w:val="center"/>
          </w:tcPr>
          <w:p w:rsidR="006B405F" w:rsidRPr="00D95F08" w:rsidRDefault="006B405F" w:rsidP="006B405F">
            <w:pPr>
              <w:spacing w:after="0"/>
              <w:jc w:val="center"/>
              <w:rPr>
                <w:rFonts w:ascii="Arial" w:hAnsi="Arial" w:cs="Arial"/>
                <w:sz w:val="20"/>
              </w:rPr>
            </w:pPr>
          </w:p>
        </w:tc>
        <w:tc>
          <w:tcPr>
            <w:tcW w:w="900" w:type="dxa"/>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c>
          <w:tcPr>
            <w:tcW w:w="720" w:type="dxa"/>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c>
          <w:tcPr>
            <w:tcW w:w="720" w:type="dxa"/>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r>
      <w:tr w:rsidR="006B405F" w:rsidRPr="00D95F08" w:rsidTr="006B405F">
        <w:tc>
          <w:tcPr>
            <w:tcW w:w="1278" w:type="dxa"/>
            <w:tcBorders>
              <w:right w:val="single" w:sz="24" w:space="0" w:color="auto"/>
            </w:tcBorders>
            <w:shd w:val="clear" w:color="auto" w:fill="B6DDE8"/>
          </w:tcPr>
          <w:p w:rsidR="006B405F" w:rsidRDefault="006B405F" w:rsidP="006B405F">
            <w:pPr>
              <w:spacing w:before="20" w:after="20"/>
              <w:rPr>
                <w:rFonts w:ascii="Arial" w:hAnsi="Arial" w:cs="Arial"/>
                <w:sz w:val="15"/>
                <w:szCs w:val="15"/>
              </w:rPr>
            </w:pPr>
            <w:r w:rsidRPr="00C63E3C">
              <w:rPr>
                <w:rFonts w:ascii="Arial" w:hAnsi="Arial" w:cs="Arial"/>
                <w:sz w:val="15"/>
                <w:szCs w:val="15"/>
              </w:rPr>
              <w:t xml:space="preserve">2. </w:t>
            </w:r>
            <w:r w:rsidRPr="00C63E3C">
              <w:rPr>
                <w:rFonts w:ascii="Arial" w:hAnsi="Arial" w:cs="Arial"/>
                <w:sz w:val="15"/>
                <w:szCs w:val="15"/>
              </w:rPr>
              <w:br/>
              <w:t>Integrative-Use of External Resources</w:t>
            </w:r>
          </w:p>
          <w:p w:rsidR="006B405F" w:rsidRPr="00C63E3C" w:rsidRDefault="006B405F" w:rsidP="006B405F">
            <w:pPr>
              <w:spacing w:before="20" w:after="20"/>
              <w:rPr>
                <w:rFonts w:ascii="Arial" w:hAnsi="Arial" w:cs="Arial"/>
                <w:sz w:val="15"/>
                <w:szCs w:val="15"/>
              </w:rPr>
            </w:pPr>
            <w:r w:rsidRPr="00C63E3C">
              <w:rPr>
                <w:rFonts w:ascii="Arial" w:hAnsi="Arial" w:cs="Arial"/>
                <w:sz w:val="8"/>
                <w:szCs w:val="8"/>
              </w:rPr>
              <w:br/>
            </w:r>
            <w:r w:rsidRPr="00C63E3C">
              <w:rPr>
                <w:rFonts w:ascii="Arial" w:hAnsi="Arial" w:cs="Arial"/>
                <w:sz w:val="15"/>
                <w:szCs w:val="15"/>
              </w:rPr>
              <w:t>Creativity</w:t>
            </w:r>
          </w:p>
        </w:tc>
        <w:tc>
          <w:tcPr>
            <w:tcW w:w="990" w:type="dxa"/>
            <w:tcBorders>
              <w:top w:val="single" w:sz="24" w:space="0" w:color="auto"/>
              <w:left w:val="single" w:sz="24" w:space="0" w:color="auto"/>
              <w:bottom w:val="single" w:sz="24" w:space="0" w:color="auto"/>
              <w:right w:val="single" w:sz="24" w:space="0" w:color="auto"/>
            </w:tcBorders>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c>
          <w:tcPr>
            <w:tcW w:w="1080" w:type="dxa"/>
            <w:tcBorders>
              <w:top w:val="single" w:sz="24" w:space="0" w:color="auto"/>
              <w:left w:val="single" w:sz="24" w:space="0" w:color="auto"/>
              <w:bottom w:val="single" w:sz="24" w:space="0" w:color="auto"/>
              <w:right w:val="single" w:sz="24" w:space="0" w:color="auto"/>
            </w:tcBorders>
            <w:vAlign w:val="center"/>
          </w:tcPr>
          <w:p w:rsidR="006B405F" w:rsidRPr="00D95F08" w:rsidRDefault="006B405F" w:rsidP="006B405F">
            <w:pPr>
              <w:spacing w:after="0"/>
              <w:jc w:val="center"/>
              <w:rPr>
                <w:rFonts w:ascii="Arial" w:hAnsi="Arial" w:cs="Arial"/>
                <w:sz w:val="20"/>
              </w:rPr>
            </w:pPr>
          </w:p>
        </w:tc>
        <w:tc>
          <w:tcPr>
            <w:tcW w:w="1260" w:type="dxa"/>
            <w:tcBorders>
              <w:top w:val="single" w:sz="24" w:space="0" w:color="auto"/>
              <w:left w:val="single" w:sz="24" w:space="0" w:color="auto"/>
              <w:bottom w:val="single" w:sz="24" w:space="0" w:color="auto"/>
              <w:right w:val="single" w:sz="24" w:space="0" w:color="auto"/>
            </w:tcBorders>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c>
          <w:tcPr>
            <w:tcW w:w="990" w:type="dxa"/>
            <w:tcBorders>
              <w:top w:val="single" w:sz="24" w:space="0" w:color="auto"/>
              <w:left w:val="single" w:sz="24" w:space="0" w:color="auto"/>
              <w:bottom w:val="single" w:sz="24" w:space="0" w:color="auto"/>
              <w:right w:val="single" w:sz="24" w:space="0" w:color="auto"/>
            </w:tcBorders>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c>
          <w:tcPr>
            <w:tcW w:w="900" w:type="dxa"/>
            <w:tcBorders>
              <w:top w:val="single" w:sz="24" w:space="0" w:color="auto"/>
              <w:left w:val="single" w:sz="24" w:space="0" w:color="auto"/>
              <w:bottom w:val="single" w:sz="24" w:space="0" w:color="auto"/>
              <w:right w:val="single" w:sz="24" w:space="0" w:color="auto"/>
            </w:tcBorders>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c>
          <w:tcPr>
            <w:tcW w:w="900" w:type="dxa"/>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c>
          <w:tcPr>
            <w:tcW w:w="720" w:type="dxa"/>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c>
          <w:tcPr>
            <w:tcW w:w="720" w:type="dxa"/>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r>
      <w:tr w:rsidR="006B405F" w:rsidRPr="00D95F08" w:rsidTr="006B405F">
        <w:tc>
          <w:tcPr>
            <w:tcW w:w="1278" w:type="dxa"/>
            <w:tcBorders>
              <w:right w:val="single" w:sz="24" w:space="0" w:color="auto"/>
            </w:tcBorders>
            <w:shd w:val="clear" w:color="auto" w:fill="B6DDE8"/>
          </w:tcPr>
          <w:p w:rsidR="006B405F" w:rsidRDefault="006B405F" w:rsidP="006B405F">
            <w:pPr>
              <w:spacing w:before="20" w:after="20"/>
              <w:rPr>
                <w:rFonts w:ascii="Arial" w:hAnsi="Arial" w:cs="Arial"/>
                <w:sz w:val="15"/>
                <w:szCs w:val="15"/>
              </w:rPr>
            </w:pPr>
            <w:r w:rsidRPr="00C63E3C">
              <w:rPr>
                <w:rFonts w:ascii="Arial" w:hAnsi="Arial" w:cs="Arial"/>
                <w:sz w:val="15"/>
                <w:szCs w:val="15"/>
              </w:rPr>
              <w:t xml:space="preserve">3. </w:t>
            </w:r>
            <w:r w:rsidRPr="00C63E3C">
              <w:rPr>
                <w:rFonts w:ascii="Arial" w:hAnsi="Arial" w:cs="Arial"/>
                <w:sz w:val="15"/>
                <w:szCs w:val="15"/>
              </w:rPr>
              <w:br/>
              <w:t>Problem-Solving</w:t>
            </w:r>
          </w:p>
          <w:p w:rsidR="006B405F" w:rsidRPr="00C63E3C" w:rsidRDefault="006B405F" w:rsidP="006B405F">
            <w:pPr>
              <w:spacing w:before="20" w:after="20"/>
              <w:rPr>
                <w:rFonts w:ascii="Arial" w:hAnsi="Arial" w:cs="Arial"/>
                <w:sz w:val="15"/>
                <w:szCs w:val="15"/>
              </w:rPr>
            </w:pPr>
            <w:r w:rsidRPr="00C63E3C">
              <w:rPr>
                <w:rFonts w:ascii="Arial" w:hAnsi="Arial" w:cs="Arial"/>
                <w:sz w:val="8"/>
                <w:szCs w:val="8"/>
              </w:rPr>
              <w:t xml:space="preserve"> </w:t>
            </w:r>
            <w:r w:rsidRPr="00C63E3C">
              <w:rPr>
                <w:rFonts w:ascii="Arial" w:hAnsi="Arial" w:cs="Arial"/>
                <w:sz w:val="8"/>
                <w:szCs w:val="8"/>
              </w:rPr>
              <w:br/>
            </w:r>
            <w:r w:rsidRPr="00C63E3C">
              <w:rPr>
                <w:rFonts w:ascii="Arial" w:hAnsi="Arial" w:cs="Arial"/>
                <w:sz w:val="15"/>
                <w:szCs w:val="15"/>
              </w:rPr>
              <w:t>Creativity</w:t>
            </w:r>
          </w:p>
        </w:tc>
        <w:tc>
          <w:tcPr>
            <w:tcW w:w="990" w:type="dxa"/>
            <w:tcBorders>
              <w:top w:val="single" w:sz="24" w:space="0" w:color="auto"/>
              <w:left w:val="single" w:sz="24" w:space="0" w:color="auto"/>
              <w:bottom w:val="single" w:sz="24" w:space="0" w:color="auto"/>
              <w:right w:val="single" w:sz="24" w:space="0" w:color="auto"/>
            </w:tcBorders>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c>
          <w:tcPr>
            <w:tcW w:w="1080" w:type="dxa"/>
            <w:tcBorders>
              <w:top w:val="single" w:sz="24" w:space="0" w:color="auto"/>
              <w:left w:val="single" w:sz="24" w:space="0" w:color="auto"/>
              <w:bottom w:val="single" w:sz="24" w:space="0" w:color="auto"/>
              <w:right w:val="single" w:sz="24" w:space="0" w:color="auto"/>
            </w:tcBorders>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c>
          <w:tcPr>
            <w:tcW w:w="1260" w:type="dxa"/>
            <w:tcBorders>
              <w:top w:val="single" w:sz="24" w:space="0" w:color="auto"/>
              <w:left w:val="single" w:sz="24" w:space="0" w:color="auto"/>
              <w:bottom w:val="single" w:sz="24" w:space="0" w:color="auto"/>
              <w:right w:val="single" w:sz="24" w:space="0" w:color="auto"/>
            </w:tcBorders>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c>
          <w:tcPr>
            <w:tcW w:w="990" w:type="dxa"/>
            <w:tcBorders>
              <w:top w:val="single" w:sz="24" w:space="0" w:color="auto"/>
              <w:left w:val="single" w:sz="24" w:space="0" w:color="auto"/>
              <w:bottom w:val="single" w:sz="24" w:space="0" w:color="auto"/>
              <w:right w:val="single" w:sz="24" w:space="0" w:color="auto"/>
            </w:tcBorders>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c>
          <w:tcPr>
            <w:tcW w:w="900" w:type="dxa"/>
            <w:tcBorders>
              <w:top w:val="single" w:sz="24" w:space="0" w:color="auto"/>
              <w:left w:val="single" w:sz="24" w:space="0" w:color="auto"/>
              <w:bottom w:val="single" w:sz="24" w:space="0" w:color="auto"/>
              <w:right w:val="single" w:sz="24" w:space="0" w:color="auto"/>
            </w:tcBorders>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c>
          <w:tcPr>
            <w:tcW w:w="900" w:type="dxa"/>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c>
          <w:tcPr>
            <w:tcW w:w="720" w:type="dxa"/>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c>
          <w:tcPr>
            <w:tcW w:w="720" w:type="dxa"/>
            <w:vAlign w:val="center"/>
          </w:tcPr>
          <w:p w:rsidR="006B405F" w:rsidRPr="00D95F08" w:rsidRDefault="006B405F" w:rsidP="006B405F">
            <w:pPr>
              <w:spacing w:after="0"/>
              <w:jc w:val="center"/>
              <w:rPr>
                <w:rFonts w:ascii="Arial" w:hAnsi="Arial" w:cs="Arial"/>
                <w:sz w:val="20"/>
              </w:rPr>
            </w:pPr>
            <w:r w:rsidRPr="00D95F08">
              <w:rPr>
                <w:rFonts w:ascii="Arial" w:hAnsi="Arial" w:cs="Arial"/>
                <w:sz w:val="20"/>
              </w:rPr>
              <w:t>x</w:t>
            </w:r>
          </w:p>
        </w:tc>
      </w:tr>
    </w:tbl>
    <w:p w:rsidR="006B405F" w:rsidRPr="00EF3EFE" w:rsidRDefault="006B405F" w:rsidP="006B405F">
      <w:pPr>
        <w:keepNext/>
        <w:keepLines/>
        <w:spacing w:after="0"/>
        <w:rPr>
          <w:rFonts w:ascii="Arial" w:hAnsi="Arial" w:cs="Arial"/>
          <w:sz w:val="20"/>
          <w:vertAlign w:val="superscript"/>
        </w:rPr>
      </w:pPr>
      <w:r>
        <w:rPr>
          <w:rFonts w:ascii="Arial" w:hAnsi="Arial" w:cs="Arial"/>
          <w:sz w:val="16"/>
          <w:szCs w:val="16"/>
          <w:vertAlign w:val="superscript"/>
        </w:rPr>
        <w:br/>
      </w:r>
      <w:proofErr w:type="gramStart"/>
      <w:r w:rsidRPr="001668D7">
        <w:rPr>
          <w:rFonts w:ascii="Arial" w:hAnsi="Arial" w:cs="Arial"/>
          <w:sz w:val="16"/>
          <w:szCs w:val="16"/>
          <w:vertAlign w:val="superscript"/>
        </w:rPr>
        <w:t>3.</w:t>
      </w:r>
      <w:r>
        <w:rPr>
          <w:rFonts w:ascii="Arial" w:hAnsi="Arial" w:cs="Arial"/>
          <w:sz w:val="16"/>
          <w:szCs w:val="16"/>
        </w:rPr>
        <w:t>OCC</w:t>
      </w:r>
      <w:proofErr w:type="gramEnd"/>
      <w:r>
        <w:rPr>
          <w:rFonts w:ascii="Arial" w:hAnsi="Arial" w:cs="Arial"/>
          <w:sz w:val="16"/>
          <w:szCs w:val="16"/>
        </w:rPr>
        <w:t xml:space="preserve"> Domains</w:t>
      </w:r>
      <w:r w:rsidRPr="00AA477A">
        <w:rPr>
          <w:rFonts w:ascii="Arial" w:hAnsi="Arial" w:cs="Arial"/>
          <w:sz w:val="20"/>
          <w:vertAlign w:val="superscript"/>
        </w:rPr>
        <w:t xml:space="preserve">©2012 Perlman, </w:t>
      </w:r>
      <w:proofErr w:type="spellStart"/>
      <w:r w:rsidRPr="00AA477A">
        <w:rPr>
          <w:rFonts w:ascii="Arial" w:hAnsi="Arial" w:cs="Arial"/>
          <w:sz w:val="20"/>
          <w:vertAlign w:val="superscript"/>
        </w:rPr>
        <w:t>DeNigris</w:t>
      </w:r>
      <w:proofErr w:type="spellEnd"/>
      <w:r w:rsidRPr="00AA477A">
        <w:rPr>
          <w:rFonts w:ascii="Arial" w:hAnsi="Arial" w:cs="Arial"/>
          <w:sz w:val="20"/>
          <w:vertAlign w:val="superscript"/>
        </w:rPr>
        <w:t xml:space="preserve">, </w:t>
      </w:r>
      <w:proofErr w:type="spellStart"/>
      <w:r w:rsidRPr="00AA477A">
        <w:rPr>
          <w:rFonts w:ascii="Arial" w:hAnsi="Arial" w:cs="Arial"/>
          <w:sz w:val="20"/>
          <w:vertAlign w:val="superscript"/>
        </w:rPr>
        <w:t>Muirhead</w:t>
      </w:r>
      <w:proofErr w:type="spellEnd"/>
    </w:p>
    <w:p w:rsidR="006B405F" w:rsidRDefault="006B405F" w:rsidP="006B405F">
      <w:pPr>
        <w:keepNext/>
        <w:keepLines/>
        <w:spacing w:after="0"/>
        <w:rPr>
          <w:rFonts w:ascii="Arial" w:hAnsi="Arial" w:cs="Arial"/>
          <w:sz w:val="16"/>
          <w:szCs w:val="16"/>
        </w:rPr>
      </w:pPr>
      <w:r w:rsidRPr="001668D7">
        <w:rPr>
          <w:rFonts w:ascii="Arial" w:hAnsi="Arial" w:cs="Arial"/>
          <w:i/>
          <w:sz w:val="16"/>
          <w:szCs w:val="16"/>
        </w:rPr>
        <w:t>Student-Class Interconnectedness Creativity</w:t>
      </w:r>
      <w:r>
        <w:rPr>
          <w:rFonts w:ascii="Arial" w:hAnsi="Arial" w:cs="Arial"/>
          <w:i/>
          <w:sz w:val="16"/>
          <w:szCs w:val="16"/>
        </w:rPr>
        <w:t xml:space="preserve"> </w:t>
      </w:r>
      <w:r w:rsidRPr="001668D7">
        <w:rPr>
          <w:rFonts w:ascii="Arial" w:hAnsi="Arial" w:cs="Arial"/>
          <w:sz w:val="16"/>
          <w:szCs w:val="16"/>
        </w:rPr>
        <w:t>The first web-based creativity domain involves interconnectedness of the student to the class. Student engagement includes both classroom discussion and creative application.</w:t>
      </w:r>
      <w:r>
        <w:rPr>
          <w:rFonts w:ascii="Arial" w:hAnsi="Arial" w:cs="Arial"/>
          <w:sz w:val="16"/>
          <w:szCs w:val="16"/>
        </w:rPr>
        <w:t xml:space="preserve"> </w:t>
      </w:r>
      <w:r w:rsidRPr="001668D7">
        <w:rPr>
          <w:rFonts w:ascii="Arial" w:hAnsi="Arial" w:cs="Arial"/>
          <w:sz w:val="16"/>
          <w:szCs w:val="16"/>
        </w:rPr>
        <w:t>Examples of these kinds of tools include blogs, wikis, video and social media (</w:t>
      </w:r>
      <w:proofErr w:type="spellStart"/>
      <w:r w:rsidRPr="001668D7">
        <w:rPr>
          <w:rFonts w:ascii="Arial" w:hAnsi="Arial" w:cs="Arial"/>
          <w:sz w:val="16"/>
          <w:szCs w:val="16"/>
        </w:rPr>
        <w:t>Avci</w:t>
      </w:r>
      <w:proofErr w:type="spellEnd"/>
      <w:r>
        <w:rPr>
          <w:rFonts w:ascii="Arial" w:hAnsi="Arial" w:cs="Arial"/>
          <w:sz w:val="16"/>
          <w:szCs w:val="16"/>
        </w:rPr>
        <w:t xml:space="preserve"> </w:t>
      </w:r>
      <w:r w:rsidRPr="001668D7">
        <w:rPr>
          <w:rFonts w:ascii="Arial" w:hAnsi="Arial" w:cs="Arial"/>
          <w:sz w:val="16"/>
          <w:szCs w:val="16"/>
        </w:rPr>
        <w:t>&amp;</w:t>
      </w:r>
      <w:r>
        <w:rPr>
          <w:rFonts w:ascii="Arial" w:hAnsi="Arial" w:cs="Arial"/>
          <w:sz w:val="16"/>
          <w:szCs w:val="16"/>
        </w:rPr>
        <w:t xml:space="preserve"> </w:t>
      </w:r>
      <w:proofErr w:type="spellStart"/>
      <w:r w:rsidRPr="001668D7">
        <w:rPr>
          <w:rFonts w:ascii="Arial" w:hAnsi="Arial" w:cs="Arial"/>
          <w:sz w:val="16"/>
          <w:szCs w:val="16"/>
        </w:rPr>
        <w:t>Askar</w:t>
      </w:r>
      <w:proofErr w:type="spellEnd"/>
      <w:r w:rsidRPr="001668D7">
        <w:rPr>
          <w:rFonts w:ascii="Arial" w:hAnsi="Arial" w:cs="Arial"/>
          <w:sz w:val="16"/>
          <w:szCs w:val="16"/>
        </w:rPr>
        <w:t xml:space="preserve">, 2012).  </w:t>
      </w:r>
    </w:p>
    <w:p w:rsidR="006B405F" w:rsidRPr="001544E1" w:rsidRDefault="006B405F" w:rsidP="006B405F">
      <w:pPr>
        <w:keepNext/>
        <w:keepLines/>
        <w:spacing w:after="0"/>
        <w:rPr>
          <w:rFonts w:ascii="Arial" w:hAnsi="Arial" w:cs="Arial"/>
          <w:sz w:val="4"/>
          <w:szCs w:val="4"/>
        </w:rPr>
      </w:pPr>
    </w:p>
    <w:p w:rsidR="006B405F" w:rsidRDefault="006B405F" w:rsidP="006B405F">
      <w:pPr>
        <w:keepNext/>
        <w:keepLines/>
        <w:spacing w:after="0"/>
        <w:rPr>
          <w:rFonts w:ascii="Arial" w:hAnsi="Arial" w:cs="Arial"/>
          <w:sz w:val="16"/>
          <w:szCs w:val="16"/>
        </w:rPr>
      </w:pPr>
      <w:r w:rsidRPr="001668D7">
        <w:rPr>
          <w:rFonts w:ascii="Arial" w:hAnsi="Arial" w:cs="Arial"/>
          <w:i/>
          <w:sz w:val="16"/>
          <w:szCs w:val="16"/>
        </w:rPr>
        <w:t>Integrative-Use External Resources Creativity</w:t>
      </w:r>
      <w:r>
        <w:rPr>
          <w:rFonts w:ascii="Arial" w:hAnsi="Arial" w:cs="Arial"/>
          <w:i/>
          <w:sz w:val="16"/>
          <w:szCs w:val="16"/>
        </w:rPr>
        <w:t xml:space="preserve"> </w:t>
      </w:r>
      <w:r w:rsidRPr="001668D7">
        <w:rPr>
          <w:rFonts w:ascii="Arial" w:hAnsi="Arial" w:cs="Arial"/>
          <w:sz w:val="16"/>
          <w:szCs w:val="16"/>
        </w:rPr>
        <w:t>The second web-based creative domain involves the use of integrating external resources. An example is an RSS aggregator. The term RSS aggregator refers to a web based system where information from the web is filtered from multiple blogs and organized into categories (</w:t>
      </w:r>
      <w:proofErr w:type="spellStart"/>
      <w:r w:rsidRPr="001668D7">
        <w:rPr>
          <w:rFonts w:ascii="Arial" w:hAnsi="Arial" w:cs="Arial"/>
          <w:sz w:val="16"/>
          <w:szCs w:val="16"/>
        </w:rPr>
        <w:t>Glotzbach</w:t>
      </w:r>
      <w:proofErr w:type="spellEnd"/>
      <w:r w:rsidRPr="001668D7">
        <w:rPr>
          <w:rFonts w:ascii="Arial" w:hAnsi="Arial" w:cs="Arial"/>
          <w:sz w:val="16"/>
          <w:szCs w:val="16"/>
        </w:rPr>
        <w:t xml:space="preserve">, </w:t>
      </w:r>
      <w:proofErr w:type="spellStart"/>
      <w:r w:rsidRPr="001668D7">
        <w:rPr>
          <w:rFonts w:ascii="Arial" w:hAnsi="Arial" w:cs="Arial"/>
          <w:sz w:val="16"/>
          <w:szCs w:val="16"/>
        </w:rPr>
        <w:t>Mordkovich</w:t>
      </w:r>
      <w:proofErr w:type="spellEnd"/>
      <w:r>
        <w:rPr>
          <w:rFonts w:ascii="Arial" w:hAnsi="Arial" w:cs="Arial"/>
          <w:sz w:val="16"/>
          <w:szCs w:val="16"/>
        </w:rPr>
        <w:t xml:space="preserve"> </w:t>
      </w:r>
      <w:r w:rsidRPr="001668D7">
        <w:rPr>
          <w:rFonts w:ascii="Arial" w:hAnsi="Arial" w:cs="Arial"/>
          <w:sz w:val="16"/>
          <w:szCs w:val="16"/>
        </w:rPr>
        <w:t>&amp;</w:t>
      </w:r>
      <w:r>
        <w:rPr>
          <w:rFonts w:ascii="Arial" w:hAnsi="Arial" w:cs="Arial"/>
          <w:sz w:val="16"/>
          <w:szCs w:val="16"/>
        </w:rPr>
        <w:t xml:space="preserve"> </w:t>
      </w:r>
      <w:proofErr w:type="spellStart"/>
      <w:r w:rsidRPr="001668D7">
        <w:rPr>
          <w:rFonts w:ascii="Arial" w:hAnsi="Arial" w:cs="Arial"/>
          <w:sz w:val="16"/>
          <w:szCs w:val="16"/>
        </w:rPr>
        <w:t>Radwan</w:t>
      </w:r>
      <w:proofErr w:type="spellEnd"/>
      <w:r w:rsidRPr="001668D7">
        <w:rPr>
          <w:rFonts w:ascii="Arial" w:hAnsi="Arial" w:cs="Arial"/>
          <w:sz w:val="16"/>
          <w:szCs w:val="16"/>
        </w:rPr>
        <w:t xml:space="preserve">, 2008). The user is therefore able to target specific content information. </w:t>
      </w:r>
    </w:p>
    <w:p w:rsidR="006B405F" w:rsidRPr="001544E1" w:rsidRDefault="006B405F" w:rsidP="006B405F">
      <w:pPr>
        <w:keepNext/>
        <w:keepLines/>
        <w:spacing w:after="0"/>
        <w:rPr>
          <w:rFonts w:ascii="Arial" w:hAnsi="Arial" w:cs="Arial"/>
          <w:sz w:val="4"/>
          <w:szCs w:val="4"/>
        </w:rPr>
      </w:pPr>
    </w:p>
    <w:p w:rsidR="006B405F" w:rsidRDefault="006B405F" w:rsidP="006B405F">
      <w:pPr>
        <w:keepLines/>
        <w:spacing w:after="0"/>
        <w:rPr>
          <w:rFonts w:ascii="Arial" w:hAnsi="Arial" w:cs="Arial"/>
          <w:sz w:val="16"/>
          <w:szCs w:val="16"/>
        </w:rPr>
      </w:pPr>
      <w:r w:rsidRPr="001668D7">
        <w:rPr>
          <w:rFonts w:ascii="Arial" w:hAnsi="Arial" w:cs="Arial"/>
          <w:i/>
          <w:sz w:val="16"/>
          <w:szCs w:val="16"/>
        </w:rPr>
        <w:t xml:space="preserve">Problem-Solving Creativity </w:t>
      </w:r>
      <w:r w:rsidRPr="001668D7">
        <w:rPr>
          <w:rFonts w:ascii="Arial" w:hAnsi="Arial" w:cs="Arial"/>
          <w:sz w:val="16"/>
          <w:szCs w:val="16"/>
        </w:rPr>
        <w:t>The third web-based creativity category involves problem-solving.  Through immersive and interactive simulations and games, such as virtual worlds (an example is Second Life), students make choices which in turn dictate the path and challenges presented in the simulation (</w:t>
      </w:r>
      <w:proofErr w:type="spellStart"/>
      <w:r w:rsidRPr="001668D7">
        <w:rPr>
          <w:rFonts w:ascii="Arial" w:hAnsi="Arial" w:cs="Arial"/>
          <w:sz w:val="16"/>
          <w:szCs w:val="16"/>
        </w:rPr>
        <w:t>Bojanova</w:t>
      </w:r>
      <w:proofErr w:type="spellEnd"/>
      <w:r w:rsidRPr="001668D7">
        <w:rPr>
          <w:rFonts w:ascii="Arial" w:hAnsi="Arial" w:cs="Arial"/>
          <w:sz w:val="16"/>
          <w:szCs w:val="16"/>
        </w:rPr>
        <w:t xml:space="preserve">&amp; Pang, 2010).  </w:t>
      </w:r>
    </w:p>
    <w:p w:rsidR="006B405F" w:rsidRPr="00580C25" w:rsidRDefault="006B405F" w:rsidP="006B405F">
      <w:pPr>
        <w:pStyle w:val="Heading4"/>
      </w:pPr>
      <w:r w:rsidRPr="00580C25">
        <w:t>W-B Creativity Model</w:t>
      </w:r>
      <w:r w:rsidRPr="00580C25">
        <w:rPr>
          <w:vertAlign w:val="superscript"/>
        </w:rPr>
        <w:t>©</w:t>
      </w:r>
      <w:r w:rsidRPr="00580C25">
        <w:t xml:space="preserve"> Technology Connection</w:t>
      </w:r>
    </w:p>
    <w:p w:rsidR="006B405F" w:rsidRDefault="006B405F" w:rsidP="006B405F">
      <w:r>
        <w:t>T</w:t>
      </w:r>
      <w:r w:rsidRPr="00FE2758">
        <w:t xml:space="preserve">he term </w:t>
      </w:r>
      <w:r w:rsidRPr="00FE2758">
        <w:rPr>
          <w:i/>
        </w:rPr>
        <w:t>web-based</w:t>
      </w:r>
      <w:r w:rsidRPr="00FE2758">
        <w:t xml:space="preserve"> (W-B)</w:t>
      </w:r>
      <w:r>
        <w:t xml:space="preserve"> i</w:t>
      </w:r>
      <w:r w:rsidRPr="00FE2758">
        <w:t xml:space="preserve">n the </w:t>
      </w:r>
      <w:r w:rsidRPr="00830EF0">
        <w:t>Web-Based Creativity Model</w:t>
      </w:r>
      <w:r w:rsidRPr="00830EF0">
        <w:rPr>
          <w:vertAlign w:val="superscript"/>
        </w:rPr>
        <w:t>©</w:t>
      </w:r>
      <w:r>
        <w:t xml:space="preserve"> is a reference</w:t>
      </w:r>
      <w:r w:rsidRPr="00FE2758">
        <w:t xml:space="preserve"> to software and hardware </w:t>
      </w:r>
      <w:r>
        <w:t xml:space="preserve">technologies </w:t>
      </w:r>
      <w:r w:rsidRPr="00FE2758">
        <w:t xml:space="preserve">supported by the internet (web). </w:t>
      </w:r>
      <w:r>
        <w:t xml:space="preserve">These web tools facilitate the creativity application through thought-enabling technologies discussed </w:t>
      </w:r>
      <w:proofErr w:type="spellStart"/>
      <w:r>
        <w:t>earlier</w:t>
      </w:r>
      <w:r w:rsidRPr="00310CC8">
        <w:t>.</w:t>
      </w:r>
      <w:r w:rsidRPr="00FE2758">
        <w:t>The</w:t>
      </w:r>
      <w:proofErr w:type="spellEnd"/>
      <w:r w:rsidRPr="00FE2758">
        <w:t xml:space="preserve"> </w:t>
      </w:r>
      <w:r>
        <w:t xml:space="preserve">evolution of the </w:t>
      </w:r>
      <w:r w:rsidRPr="00FE2758">
        <w:t xml:space="preserve">web </w:t>
      </w:r>
      <w:r>
        <w:t>is a continuing growth of interactivity with</w:t>
      </w:r>
      <w:r w:rsidRPr="00FE2758">
        <w:t xml:space="preserve"> extension</w:t>
      </w:r>
      <w:r>
        <w:t>s into</w:t>
      </w:r>
      <w:r w:rsidRPr="00FE2758">
        <w:t xml:space="preserve"> work, leisure, and school life. </w:t>
      </w:r>
      <w:r>
        <w:t>Web</w:t>
      </w:r>
      <w:r w:rsidRPr="00FE2758">
        <w:t xml:space="preserve"> evolution has </w:t>
      </w:r>
      <w:r>
        <w:t xml:space="preserve">developed </w:t>
      </w:r>
      <w:r w:rsidRPr="00FE2758">
        <w:t>from a primarily research t</w:t>
      </w:r>
      <w:r>
        <w:t>ool to an interconnected global</w:t>
      </w:r>
      <w:r w:rsidRPr="00FE2758">
        <w:t xml:space="preserve"> community where people create, share, revise, and communicate (Yuen, </w:t>
      </w:r>
      <w:proofErr w:type="spellStart"/>
      <w:r w:rsidRPr="00FE2758">
        <w:t>Yaoyuneyong</w:t>
      </w:r>
      <w:proofErr w:type="spellEnd"/>
      <w:r w:rsidRPr="00FE2758">
        <w:t xml:space="preserve">&amp; Yuen, 2011). </w:t>
      </w:r>
      <w:r>
        <w:t>An</w:t>
      </w:r>
      <w:r w:rsidRPr="00FE2758">
        <w:t xml:space="preserve"> example is web software which recognizes and interprets a user’s preferences and search to customize a user’s experience. </w:t>
      </w:r>
      <w:r>
        <w:t>Other e</w:t>
      </w:r>
      <w:r w:rsidRPr="00FE2758">
        <w:t>xample</w:t>
      </w:r>
      <w:r>
        <w:t xml:space="preserve">s are ease-of-use </w:t>
      </w:r>
      <w:r w:rsidRPr="00FE2758">
        <w:t>communication</w:t>
      </w:r>
      <w:r>
        <w:t>s</w:t>
      </w:r>
      <w:r w:rsidRPr="00FE2758">
        <w:t xml:space="preserve"> (such as email, </w:t>
      </w:r>
      <w:r>
        <w:t xml:space="preserve">Facebook, twitter, etc.), </w:t>
      </w:r>
      <w:r w:rsidRPr="00FE2758">
        <w:t xml:space="preserve">file creation and sharing (such as documents, films, videos, etc.) and alternative environments (such as virtual reality, 3-D and learning games environments, etc.). </w:t>
      </w:r>
    </w:p>
    <w:p w:rsidR="006B405F" w:rsidRDefault="006B405F" w:rsidP="006B405F">
      <w:r w:rsidRPr="00FE2758">
        <w:t>This technology evolution is incorporated in</w:t>
      </w:r>
      <w:r>
        <w:t>to</w:t>
      </w:r>
      <w:r w:rsidRPr="00FE2758">
        <w:t xml:space="preserve"> the W-B Creativity Model</w:t>
      </w:r>
      <w:proofErr w:type="gramStart"/>
      <w:r w:rsidRPr="00FE2758">
        <w:rPr>
          <w:vertAlign w:val="superscript"/>
        </w:rPr>
        <w:t xml:space="preserve">©  </w:t>
      </w:r>
      <w:r w:rsidRPr="00FE2758">
        <w:t>via</w:t>
      </w:r>
      <w:proofErr w:type="gramEnd"/>
      <w:r w:rsidRPr="00FE2758">
        <w:t xml:space="preserve"> a categorization of technology tool characteristic</w:t>
      </w:r>
      <w:r>
        <w:t xml:space="preserve">s reflecting </w:t>
      </w:r>
      <w:r w:rsidRPr="00FE2758">
        <w:t>classroom creativity strategy</w:t>
      </w:r>
      <w:r>
        <w:t xml:space="preserve"> use</w:t>
      </w:r>
      <w:r w:rsidRPr="00FE2758">
        <w:t xml:space="preserve">.  </w:t>
      </w:r>
      <w:r>
        <w:t xml:space="preserve">Since it is the descriptions which are matched to respective OCC domains, both existing and </w:t>
      </w:r>
      <w:r w:rsidRPr="00872B15">
        <w:rPr>
          <w:i/>
        </w:rPr>
        <w:t>future</w:t>
      </w:r>
      <w:r>
        <w:rPr>
          <w:i/>
        </w:rPr>
        <w:t xml:space="preserve"> </w:t>
      </w:r>
      <w:r w:rsidRPr="00FE2758">
        <w:t>web-based tool</w:t>
      </w:r>
      <w:r>
        <w:t xml:space="preserve">s are incorporated within the mode. </w:t>
      </w:r>
      <w:proofErr w:type="gramStart"/>
      <w:r>
        <w:t>Clarification of this concept and examples for each OCC Domain are</w:t>
      </w:r>
      <w:proofErr w:type="gramEnd"/>
      <w:r w:rsidRPr="00FE2758">
        <w:t xml:space="preserve"> discussed below.</w:t>
      </w:r>
    </w:p>
    <w:p w:rsidR="006B405F" w:rsidRPr="004F487B" w:rsidRDefault="006B405F" w:rsidP="006B405F">
      <w:pPr>
        <w:pStyle w:val="Heading4"/>
      </w:pPr>
      <w:r w:rsidRPr="004F487B">
        <w:t>1. Student-class inter</w:t>
      </w:r>
      <w:r>
        <w:t>connectedness creativity domain</w:t>
      </w:r>
    </w:p>
    <w:p w:rsidR="006B405F" w:rsidRDefault="006B405F" w:rsidP="006B405F">
      <w:r w:rsidRPr="00FE2758">
        <w:t xml:space="preserve">The first web-based creativity domain involves interconnectedness of the student to the class. Student engagement includes both classroom discussion and creative application. </w:t>
      </w:r>
      <w:r>
        <w:t>Examples of thi</w:t>
      </w:r>
      <w:r w:rsidRPr="00FE2758">
        <w:t>s</w:t>
      </w:r>
      <w:r>
        <w:t xml:space="preserve"> kind</w:t>
      </w:r>
      <w:r w:rsidRPr="00FE2758">
        <w:t xml:space="preserve"> of tool include blogs, wikis, video (such as iPod casting) and social media (such as twitter and YouTube) (</w:t>
      </w:r>
      <w:proofErr w:type="spellStart"/>
      <w:r w:rsidRPr="00FE2758">
        <w:t>Avci</w:t>
      </w:r>
      <w:proofErr w:type="spellEnd"/>
      <w:r>
        <w:t xml:space="preserve"> </w:t>
      </w:r>
      <w:r w:rsidRPr="00FE2758">
        <w:t>&amp;</w:t>
      </w:r>
      <w:r>
        <w:t xml:space="preserve"> </w:t>
      </w:r>
      <w:proofErr w:type="spellStart"/>
      <w:r w:rsidRPr="00FE2758">
        <w:t>Askar</w:t>
      </w:r>
      <w:proofErr w:type="spellEnd"/>
      <w:r w:rsidRPr="00FE2758">
        <w:t>, 2012).  Use of these connectivity tools facilitates creativity and both asynchronous and synchronous participation.</w:t>
      </w:r>
    </w:p>
    <w:p w:rsidR="006B405F" w:rsidRDefault="006B405F" w:rsidP="006B405F">
      <w:r w:rsidRPr="00FE2758">
        <w:rPr>
          <w:i/>
        </w:rPr>
        <w:t>Blogs</w:t>
      </w:r>
      <w:r w:rsidRPr="00FE2758">
        <w:t xml:space="preserve"> are a web-based method of online community-interaction in which a topic can be written about and discussed. The content can be written by anyone or any entity.  For example; an individual (such as a faculty member, or a student), a student team, an interest-group, etc. can sponsor, manage, and/or write a blog (</w:t>
      </w:r>
      <w:proofErr w:type="spellStart"/>
      <w:r w:rsidRPr="00FE2758">
        <w:t>Avci</w:t>
      </w:r>
      <w:proofErr w:type="spellEnd"/>
      <w:r>
        <w:t xml:space="preserve"> </w:t>
      </w:r>
      <w:r w:rsidRPr="00FE2758">
        <w:t>&amp;</w:t>
      </w:r>
      <w:r>
        <w:t xml:space="preserve"> </w:t>
      </w:r>
      <w:proofErr w:type="spellStart"/>
      <w:r w:rsidRPr="00FE2758">
        <w:t>Askar</w:t>
      </w:r>
      <w:proofErr w:type="spellEnd"/>
      <w:r w:rsidRPr="00FE2758">
        <w:t>, 2012).</w:t>
      </w:r>
      <w:r>
        <w:t xml:space="preserve"> </w:t>
      </w:r>
      <w:r w:rsidRPr="00FE2758">
        <w:t>Blogging provides a creative approach where students can reflect on what they are learning, share knowledge, debate concepts, and dev</w:t>
      </w:r>
      <w:r>
        <w:t>elop their own creative ideas.</w:t>
      </w:r>
    </w:p>
    <w:p w:rsidR="006B405F" w:rsidRDefault="006B405F" w:rsidP="006B405F">
      <w:r w:rsidRPr="00FE2758">
        <w:t xml:space="preserve">In comparison, </w:t>
      </w:r>
      <w:r w:rsidRPr="00FE2758">
        <w:rPr>
          <w:i/>
        </w:rPr>
        <w:t>wikis</w:t>
      </w:r>
      <w:r w:rsidRPr="00FE2758">
        <w:t xml:space="preserve"> are not discussions by an individual. Instead, the information reflects a collaborative effort (</w:t>
      </w:r>
      <w:proofErr w:type="spellStart"/>
      <w:r w:rsidRPr="00FE2758">
        <w:t>Kohli</w:t>
      </w:r>
      <w:proofErr w:type="spellEnd"/>
      <w:r>
        <w:t xml:space="preserve"> </w:t>
      </w:r>
      <w:r w:rsidRPr="00FE2758">
        <w:t xml:space="preserve">&amp; Bradshaw, 2011; </w:t>
      </w:r>
      <w:proofErr w:type="spellStart"/>
      <w:r w:rsidRPr="00FE2758">
        <w:t>Avci</w:t>
      </w:r>
      <w:proofErr w:type="spellEnd"/>
      <w:r>
        <w:t xml:space="preserve"> </w:t>
      </w:r>
      <w:r w:rsidRPr="00FE2758">
        <w:t>&amp;</w:t>
      </w:r>
      <w:r>
        <w:t xml:space="preserve"> </w:t>
      </w:r>
      <w:proofErr w:type="spellStart"/>
      <w:r w:rsidRPr="00FE2758">
        <w:t>Askar</w:t>
      </w:r>
      <w:proofErr w:type="spellEnd"/>
      <w:r w:rsidRPr="00FE2758">
        <w:t>, 2012).  The content can be revised by anyone who has access to the Wiki. Anyone can add or remove information. Research (</w:t>
      </w:r>
      <w:proofErr w:type="spellStart"/>
      <w:r w:rsidRPr="00FE2758">
        <w:t>Avci</w:t>
      </w:r>
      <w:proofErr w:type="spellEnd"/>
      <w:r>
        <w:t xml:space="preserve"> </w:t>
      </w:r>
      <w:r w:rsidRPr="00FE2758">
        <w:t>&amp;</w:t>
      </w:r>
      <w:r>
        <w:t xml:space="preserve"> </w:t>
      </w:r>
      <w:proofErr w:type="spellStart"/>
      <w:r w:rsidRPr="00FE2758">
        <w:t>Askar</w:t>
      </w:r>
      <w:proofErr w:type="spellEnd"/>
      <w:r w:rsidRPr="00FE2758">
        <w:t>) indicates that while both blog and wiki applications are effective creative tools, students prefer wikis. This preference may be due to the greater flexible use of wikis.  Creatively, wiki use facilitates team collaboration. For example, teams can work together on editing and peer review projects.</w:t>
      </w:r>
    </w:p>
    <w:p w:rsidR="006B405F" w:rsidRDefault="006B405F" w:rsidP="006B405F">
      <w:r w:rsidRPr="00FE2758">
        <w:rPr>
          <w:i/>
        </w:rPr>
        <w:t>Videos and social media</w:t>
      </w:r>
      <w:r w:rsidRPr="00FE2758">
        <w:t xml:space="preserve"> (such as twitter and YouTube) offer alternative ways to communicate (Rodriguez, 2011). Use of these tools facilitates more effective communications with students and faculty who have different learning and content sharing styles. </w:t>
      </w:r>
      <w:r>
        <w:t>I</w:t>
      </w:r>
      <w:r w:rsidRPr="00FE2758">
        <w:t>n an increasingly global make-up in 21</w:t>
      </w:r>
      <w:r w:rsidRPr="00FE2758">
        <w:rPr>
          <w:vertAlign w:val="superscript"/>
        </w:rPr>
        <w:t>st</w:t>
      </w:r>
      <w:r w:rsidRPr="00FE2758">
        <w:t xml:space="preserve"> Century classrooms, use of this media can transcend cultural and language disconnects.</w:t>
      </w:r>
    </w:p>
    <w:p w:rsidR="006B405F" w:rsidRPr="004B5D2E" w:rsidRDefault="006B405F" w:rsidP="006B405F">
      <w:pPr>
        <w:pStyle w:val="Heading4"/>
      </w:pPr>
      <w:r w:rsidRPr="004B5D2E">
        <w:t>2. Integrative-use external resources creativity domain</w:t>
      </w:r>
    </w:p>
    <w:p w:rsidR="006B405F" w:rsidRPr="00BE5E47" w:rsidRDefault="006B405F" w:rsidP="006B405F">
      <w:pPr>
        <w:rPr>
          <w:sz w:val="20"/>
        </w:rPr>
      </w:pPr>
      <w:r w:rsidRPr="00FE2758">
        <w:t xml:space="preserve">The second web-based creative domain involves the use of integrating external resources. An example is an RSS aggregator. The term </w:t>
      </w:r>
      <w:r w:rsidRPr="00367818">
        <w:rPr>
          <w:i/>
        </w:rPr>
        <w:t>RSS aggregator</w:t>
      </w:r>
      <w:r w:rsidRPr="00FE2758">
        <w:t xml:space="preserve"> refers to a web based system where information from the web is filtered from multiple blogs and organized into categories (</w:t>
      </w:r>
      <w:proofErr w:type="spellStart"/>
      <w:r w:rsidRPr="00FE2758">
        <w:t>Glotzbach</w:t>
      </w:r>
      <w:proofErr w:type="spellEnd"/>
      <w:r w:rsidRPr="00FE2758">
        <w:t xml:space="preserve">, </w:t>
      </w:r>
      <w:proofErr w:type="spellStart"/>
      <w:r w:rsidRPr="00FE2758">
        <w:t>Mordkovich&amp;Radwan</w:t>
      </w:r>
      <w:proofErr w:type="spellEnd"/>
      <w:r w:rsidRPr="00FE2758">
        <w:t xml:space="preserve">, 2008). The user is therefore able to target specific content information. Two example aggregators, which provide subject and industry filtering, display </w:t>
      </w:r>
      <w:r>
        <w:t xml:space="preserve">(on </w:t>
      </w:r>
      <w:r w:rsidRPr="00FE2758">
        <w:t>one page</w:t>
      </w:r>
      <w:r>
        <w:t>)</w:t>
      </w:r>
      <w:r w:rsidRPr="00FE2758">
        <w:t xml:space="preserve"> headline stories and videos across multiple industries are: </w:t>
      </w:r>
      <w:hyperlink r:id="rId19" w:history="1">
        <w:r w:rsidRPr="00B8031E">
          <w:rPr>
            <w:rStyle w:val="Hyperlink"/>
            <w:rFonts w:cs="Arial"/>
            <w:i/>
            <w:sz w:val="18"/>
            <w:szCs w:val="18"/>
          </w:rPr>
          <w:t>http://popurls.com/</w:t>
        </w:r>
      </w:hyperlink>
      <w:r>
        <w:rPr>
          <w:sz w:val="18"/>
          <w:szCs w:val="18"/>
        </w:rPr>
        <w:t xml:space="preserve"> and </w:t>
      </w:r>
      <w:hyperlink r:id="rId20" w:history="1">
        <w:r w:rsidRPr="00B8031E">
          <w:rPr>
            <w:rStyle w:val="Hyperlink"/>
            <w:rFonts w:cs="Arial"/>
            <w:i/>
            <w:sz w:val="18"/>
            <w:szCs w:val="18"/>
          </w:rPr>
          <w:t>http://newsonfeeds.com/</w:t>
        </w:r>
      </w:hyperlink>
    </w:p>
    <w:p w:rsidR="006B405F" w:rsidRPr="00AE6BAE" w:rsidRDefault="006B405F" w:rsidP="006B405F">
      <w:pPr>
        <w:pStyle w:val="Heading4"/>
      </w:pPr>
      <w:r w:rsidRPr="00AE6BAE">
        <w:t>3. Problem-solving creativity</w:t>
      </w:r>
    </w:p>
    <w:p w:rsidR="006B405F" w:rsidRDefault="006B405F" w:rsidP="006B405F">
      <w:r w:rsidRPr="00FE2758">
        <w:t>The third web-based creativity category involves problem-solving.  Through immersive and interactive simulations and games (such as virtual worlds</w:t>
      </w:r>
      <w:r>
        <w:t xml:space="preserve">, </w:t>
      </w:r>
      <w:r w:rsidRPr="00FE2758">
        <w:t xml:space="preserve">an example is </w:t>
      </w:r>
      <w:r w:rsidRPr="00982E43">
        <w:rPr>
          <w:i/>
        </w:rPr>
        <w:t>Second Life</w:t>
      </w:r>
      <w:r>
        <w:t>)</w:t>
      </w:r>
      <w:r w:rsidRPr="00FE2758">
        <w:t xml:space="preserve"> students make choices which in turn dictate the path and challenges presented in the simulation (</w:t>
      </w:r>
      <w:proofErr w:type="spellStart"/>
      <w:r w:rsidRPr="00FE2758">
        <w:t>Bojanova</w:t>
      </w:r>
      <w:proofErr w:type="spellEnd"/>
      <w:r>
        <w:t xml:space="preserve"> </w:t>
      </w:r>
      <w:r w:rsidRPr="00FE2758">
        <w:t xml:space="preserve">&amp; Pang, 2010).  Use of this creative approach to teaching content can also facilitate development of critical thinking skills. Developing creativity approaches using simulations is particularly relevant in graduate classes. On the graduate level, student outcomes involve more than learning tasks (Magana, </w:t>
      </w:r>
      <w:proofErr w:type="spellStart"/>
      <w:r w:rsidRPr="00FE2758">
        <w:t>Brophy</w:t>
      </w:r>
      <w:proofErr w:type="spellEnd"/>
      <w:r>
        <w:t xml:space="preserve"> </w:t>
      </w:r>
      <w:r w:rsidRPr="00FE2758">
        <w:t>&amp;</w:t>
      </w:r>
      <w:r>
        <w:t xml:space="preserve"> </w:t>
      </w:r>
      <w:proofErr w:type="spellStart"/>
      <w:r w:rsidRPr="00FE2758">
        <w:t>Bodner</w:t>
      </w:r>
      <w:proofErr w:type="spellEnd"/>
      <w:r w:rsidRPr="00FE2758">
        <w:t xml:space="preserve">, 2012).  By introducing scenarios dependent on student choice, content learning is more student-centered learning. Learning goals include the ability to respond to real-world situations. </w:t>
      </w:r>
      <w:r>
        <w:t>These skills transcend to career employability success.</w:t>
      </w:r>
    </w:p>
    <w:p w:rsidR="006B405F" w:rsidRPr="009D5B23" w:rsidRDefault="006B405F" w:rsidP="006B405F">
      <w:pPr>
        <w:pStyle w:val="Heading3"/>
      </w:pPr>
      <w:r w:rsidRPr="009D5B23">
        <w:t>Four W-B Creativity Model</w:t>
      </w:r>
      <w:r w:rsidRPr="009D5B23">
        <w:rPr>
          <w:vertAlign w:val="superscript"/>
        </w:rPr>
        <w:t>©</w:t>
      </w:r>
      <w:r w:rsidRPr="009D5B23">
        <w:t xml:space="preserve"> strategy steps</w:t>
      </w:r>
    </w:p>
    <w:p w:rsidR="006B405F" w:rsidRDefault="006B405F" w:rsidP="006B405F">
      <w:r w:rsidRPr="00FE2758">
        <w:t>In application, a creative strategy is determined using the W-B Creativity Model</w:t>
      </w:r>
      <w:r w:rsidRPr="00FE2758">
        <w:rPr>
          <w:vertAlign w:val="superscript"/>
        </w:rPr>
        <w:t>©</w:t>
      </w:r>
      <w:r w:rsidRPr="00FE2758">
        <w:t xml:space="preserve"> in four </w:t>
      </w:r>
      <w:r>
        <w:t xml:space="preserve">general </w:t>
      </w:r>
      <w:r w:rsidRPr="00FE2758">
        <w:t>steps.  The first step is a consideration of wh</w:t>
      </w:r>
      <w:r>
        <w:t xml:space="preserve">ich </w:t>
      </w:r>
      <w:r w:rsidRPr="00FE2758">
        <w:rPr>
          <w:i/>
        </w:rPr>
        <w:t xml:space="preserve">Online Learning Outcome Component </w:t>
      </w:r>
      <w:r w:rsidRPr="00FE2758">
        <w:t>(see Table 1) is wanted</w:t>
      </w:r>
      <w:r>
        <w:t>. This choice is made by the faculty (or other learning-leader)</w:t>
      </w:r>
      <w:r w:rsidRPr="00FE2758">
        <w:t xml:space="preserve"> relative to the course assignment. The second step is identif</w:t>
      </w:r>
      <w:r>
        <w:t xml:space="preserve">ication of </w:t>
      </w:r>
      <w:r w:rsidRPr="00FE2758">
        <w:t xml:space="preserve">one or more associated </w:t>
      </w:r>
      <w:r w:rsidRPr="00FE2758">
        <w:rPr>
          <w:i/>
        </w:rPr>
        <w:t>Online-Class-Creativity (OCC) Domains</w:t>
      </w:r>
      <w:r w:rsidRPr="00FE2758">
        <w:t xml:space="preserve"> (reflected by an “X” in the table matrix</w:t>
      </w:r>
      <w:r>
        <w:t xml:space="preserve">, on </w:t>
      </w:r>
      <w:r w:rsidRPr="00FE2758">
        <w:t>Table 1).  The third step is select</w:t>
      </w:r>
      <w:r>
        <w:t>ion of</w:t>
      </w:r>
      <w:r w:rsidRPr="00FE2758">
        <w:t xml:space="preserve"> one or more </w:t>
      </w:r>
      <w:r>
        <w:t xml:space="preserve">web </w:t>
      </w:r>
      <w:r w:rsidRPr="00FE2758">
        <w:t xml:space="preserve">tools </w:t>
      </w:r>
      <w:r>
        <w:t>that</w:t>
      </w:r>
      <w:r w:rsidRPr="00FE2758">
        <w:t xml:space="preserve"> </w:t>
      </w:r>
      <w:r>
        <w:t>support</w:t>
      </w:r>
      <w:r w:rsidRPr="00FE2758">
        <w:t xml:space="preserve"> characteristics of the OCC Domain (see model concept illustrated in Figure 1). </w:t>
      </w:r>
    </w:p>
    <w:p w:rsidR="006B405F" w:rsidRDefault="006B405F" w:rsidP="006B405F">
      <w:r>
        <w:t xml:space="preserve">The choice of web tool is self-directed. The rationale for the choice is given in the description of </w:t>
      </w:r>
      <w:r w:rsidRPr="00FE2758">
        <w:t>why a technology is an appropriate fit</w:t>
      </w:r>
      <w:r>
        <w:t>. A tool is considered appropriate if the description of the tool function matches the description of a respective OCC</w:t>
      </w:r>
      <w:r w:rsidRPr="00FE2758">
        <w:t xml:space="preserve"> Domain. </w:t>
      </w:r>
      <w:r>
        <w:t>Since it is a matching by function description, when a</w:t>
      </w:r>
      <w:r w:rsidRPr="00FE2758">
        <w:t xml:space="preserve"> new technology is introduced for the web, the new technology immediately becomes part of the model choices</w:t>
      </w:r>
      <w:r>
        <w:t xml:space="preserve">. The self-directed aspect of this choice contributes to a successful class outcome for the student. </w:t>
      </w:r>
      <w:r w:rsidRPr="00FE2758">
        <w:t xml:space="preserve"> Engaging in self-direction is </w:t>
      </w:r>
      <w:r>
        <w:t xml:space="preserve">a </w:t>
      </w:r>
      <w:r w:rsidRPr="00FE2758">
        <w:t>motivator (Lee, Barker &amp; Kumar, 2011). Motivation is a critical success factor in online education (Hong &amp; Jung, 2010; Sun, Tsai, Finger, Chen &amp;</w:t>
      </w:r>
      <w:r>
        <w:t xml:space="preserve"> </w:t>
      </w:r>
      <w:proofErr w:type="spellStart"/>
      <w:r w:rsidRPr="00FE2758">
        <w:t>Yeh</w:t>
      </w:r>
      <w:proofErr w:type="spellEnd"/>
      <w:r w:rsidRPr="00FE2758">
        <w:t>, 2008).</w:t>
      </w:r>
    </w:p>
    <w:p w:rsidR="006B405F" w:rsidRDefault="006B405F" w:rsidP="006B405F">
      <w:r w:rsidRPr="00FE2758">
        <w:t>The fourth step is assess</w:t>
      </w:r>
      <w:r>
        <w:t>ment of</w:t>
      </w:r>
      <w:r w:rsidRPr="00FE2758">
        <w:t xml:space="preserve"> the final product, service, or procedure achieved by using the tools in the OCC domain. The</w:t>
      </w:r>
      <w:r>
        <w:t xml:space="preserve"> description of the desired learning outcome</w:t>
      </w:r>
      <w:r w:rsidRPr="00FE2758">
        <w:t xml:space="preserve"> can be defined in advance</w:t>
      </w:r>
      <w:r>
        <w:t xml:space="preserve">. This aspect facilitates a </w:t>
      </w:r>
      <w:r w:rsidRPr="00FE2758">
        <w:t xml:space="preserve">faculty’s teaching approach </w:t>
      </w:r>
      <w:r>
        <w:t xml:space="preserve">to </w:t>
      </w:r>
      <w:r w:rsidRPr="00FE2758">
        <w:t>content delivery</w:t>
      </w:r>
      <w:r>
        <w:t>.</w:t>
      </w:r>
      <w:r w:rsidRPr="00FE2758">
        <w:t xml:space="preserve"> Assessment could be used either in part or in whole as a graded activity.</w:t>
      </w:r>
    </w:p>
    <w:p w:rsidR="006B405F" w:rsidRPr="00991AD2" w:rsidRDefault="006B405F" w:rsidP="006B405F">
      <w:pPr>
        <w:pStyle w:val="Heading3"/>
      </w:pPr>
      <w:r w:rsidRPr="00991AD2">
        <w:t>Conclusions and Recommendations</w:t>
      </w:r>
    </w:p>
    <w:p w:rsidR="006B405F" w:rsidRDefault="006B405F" w:rsidP="006B405F">
      <w:r w:rsidRPr="00FE2758">
        <w:t xml:space="preserve">Creativity in online graduate classes continues to be </w:t>
      </w:r>
      <w:r>
        <w:t xml:space="preserve">an </w:t>
      </w:r>
      <w:r w:rsidRPr="00FE2758">
        <w:t>area in which research is needed</w:t>
      </w:r>
      <w:r>
        <w:t xml:space="preserve"> </w:t>
      </w:r>
      <w:r w:rsidRPr="00FC1983">
        <w:t>(</w:t>
      </w:r>
      <w:proofErr w:type="spellStart"/>
      <w:r w:rsidRPr="00FC1983">
        <w:t>Tunks</w:t>
      </w:r>
      <w:proofErr w:type="spellEnd"/>
      <w:r w:rsidRPr="00FC1983">
        <w:t>, 2012)</w:t>
      </w:r>
      <w:r>
        <w:t>.</w:t>
      </w:r>
      <w:r w:rsidRPr="00FE2758">
        <w:t xml:space="preserve"> There is a gap in the literature on strategies to use web-based current and emergent technology to facilitate classroom creativity. A new model concept, the Web-Based Creativity Model</w:t>
      </w:r>
      <w:r w:rsidRPr="00FE2758">
        <w:rPr>
          <w:vertAlign w:val="superscript"/>
        </w:rPr>
        <w:t xml:space="preserve">©2012 Perlman, </w:t>
      </w:r>
      <w:proofErr w:type="spellStart"/>
      <w:r w:rsidRPr="00FE2758">
        <w:rPr>
          <w:vertAlign w:val="superscript"/>
        </w:rPr>
        <w:t>DeNigris&amp;Muirhead</w:t>
      </w:r>
      <w:proofErr w:type="spellEnd"/>
      <w:r w:rsidRPr="00FE2758">
        <w:t xml:space="preserve"> (W-B Creativity Model</w:t>
      </w:r>
      <w:r w:rsidRPr="00FE2758">
        <w:rPr>
          <w:vertAlign w:val="superscript"/>
        </w:rPr>
        <w:t>©</w:t>
      </w:r>
      <w:r w:rsidRPr="00FE2758">
        <w:t xml:space="preserve">) is proposed as a guide </w:t>
      </w:r>
      <w:r>
        <w:t>for</w:t>
      </w:r>
      <w:r w:rsidRPr="00FE2758">
        <w:t xml:space="preserve"> developing strategies. The model concept is illustrated in Figure 1. </w:t>
      </w:r>
    </w:p>
    <w:p w:rsidR="006B405F" w:rsidRDefault="006B405F" w:rsidP="006B405F">
      <w:r w:rsidRPr="00FE2758">
        <w:t>The W-B Creativity Model</w:t>
      </w:r>
      <w:r w:rsidRPr="00FE2758">
        <w:rPr>
          <w:vertAlign w:val="superscript"/>
        </w:rPr>
        <w:t xml:space="preserve">© </w:t>
      </w:r>
      <w:r>
        <w:t xml:space="preserve">concept </w:t>
      </w:r>
      <w:r w:rsidRPr="00FE2758">
        <w:t>is based on the application of web-based technology tools to a new creativity</w:t>
      </w:r>
      <w:r>
        <w:t>-</w:t>
      </w:r>
      <w:r w:rsidRPr="00FE2758">
        <w:t xml:space="preserve">domain concept: the </w:t>
      </w:r>
      <w:r w:rsidRPr="00FE2758">
        <w:rPr>
          <w:i/>
        </w:rPr>
        <w:t>online-class-creativity</w:t>
      </w:r>
      <w:r w:rsidRPr="00FE2758">
        <w:t xml:space="preserve"> (OCC).  </w:t>
      </w:r>
      <w:r>
        <w:t>C</w:t>
      </w:r>
      <w:r w:rsidRPr="00FE2758">
        <w:t>ritical components of creativity and online learning objectives</w:t>
      </w:r>
      <w:r>
        <w:t xml:space="preserve"> are integrated in th</w:t>
      </w:r>
      <w:r w:rsidRPr="00FE2758">
        <w:t>e</w:t>
      </w:r>
      <w:r>
        <w:t xml:space="preserve"> OCC d</w:t>
      </w:r>
      <w:r w:rsidRPr="00FE2758">
        <w:t xml:space="preserve">omains, </w:t>
      </w:r>
      <w:r>
        <w:t xml:space="preserve">(see </w:t>
      </w:r>
      <w:r w:rsidRPr="00FE2758">
        <w:t>Table</w:t>
      </w:r>
      <w:r>
        <w:t xml:space="preserve"> </w:t>
      </w:r>
      <w:r w:rsidRPr="00FE2758">
        <w:t>1</w:t>
      </w:r>
      <w:r>
        <w:t>). The OCC d</w:t>
      </w:r>
      <w:r w:rsidRPr="00FE2758">
        <w:t xml:space="preserve">omains are (1) Student-Class Interconnectedness Creativity, (2) Integrative-Use of External Resources Creativity, and (3) Problem-Solving Creativity. </w:t>
      </w:r>
    </w:p>
    <w:p w:rsidR="006B405F" w:rsidRDefault="006B405F" w:rsidP="006B405F">
      <w:r w:rsidRPr="00FE2758">
        <w:t>In conclusion, creativity, industry-applicable competencies, and learning-organization classroom outcomes</w:t>
      </w:r>
      <w:r>
        <w:t>;</w:t>
      </w:r>
      <w:r w:rsidRPr="00FE2758">
        <w:t xml:space="preserve"> along with technology</w:t>
      </w:r>
      <w:r>
        <w:t>;</w:t>
      </w:r>
      <w:r w:rsidRPr="00FE2758">
        <w:t xml:space="preserve"> are critical aspects of contemporary online classes. The evolutionary change in web technology includes </w:t>
      </w:r>
      <w:r>
        <w:t xml:space="preserve">an </w:t>
      </w:r>
      <w:r w:rsidRPr="00FE2758">
        <w:t xml:space="preserve">increasing flexibility, creativity, and mobility (Green, 2011). Technological-relevance to contemporary learning and communications delivery is an emergent requirement of online courses. </w:t>
      </w:r>
      <w:r>
        <w:t>C</w:t>
      </w:r>
      <w:r w:rsidRPr="00FE2758">
        <w:t>ourse content</w:t>
      </w:r>
      <w:r>
        <w:t>-developers, faculty and industry trainers</w:t>
      </w:r>
      <w:r w:rsidRPr="00FE2758">
        <w:t xml:space="preserve"> may be able to use </w:t>
      </w:r>
      <w:proofErr w:type="spellStart"/>
      <w:r w:rsidRPr="00FE2758">
        <w:t>theW</w:t>
      </w:r>
      <w:proofErr w:type="spellEnd"/>
      <w:r w:rsidRPr="00FE2758">
        <w:t xml:space="preserve">-B Creativity </w:t>
      </w:r>
      <w:proofErr w:type="spellStart"/>
      <w:r w:rsidRPr="00FE2758">
        <w:t>Model</w:t>
      </w:r>
      <w:r w:rsidRPr="00655C33">
        <w:rPr>
          <w:vertAlign w:val="superscript"/>
        </w:rPr>
        <w:t>©</w:t>
      </w:r>
      <w:r>
        <w:t>as</w:t>
      </w:r>
      <w:proofErr w:type="spellEnd"/>
      <w:r w:rsidRPr="00FE2758">
        <w:t xml:space="preserve"> a strategic guide to meet this </w:t>
      </w:r>
      <w:r>
        <w:t xml:space="preserve">emergent technology </w:t>
      </w:r>
      <w:r w:rsidRPr="00FE2758">
        <w:t xml:space="preserve">requirement. </w:t>
      </w:r>
    </w:p>
    <w:p w:rsidR="006B405F" w:rsidRDefault="006B405F" w:rsidP="006B405F">
      <w:r w:rsidRPr="00FE2758">
        <w:t xml:space="preserve">Research is needed </w:t>
      </w:r>
      <w:r>
        <w:t xml:space="preserve">to </w:t>
      </w:r>
      <w:r w:rsidRPr="00FE2758">
        <w:t>test the model. Research is also needed on which web-based tools are most effective for creativity in online classes</w:t>
      </w:r>
      <w:r>
        <w:t>; and whether there is a difference by</w:t>
      </w:r>
      <w:r w:rsidRPr="00FE2758">
        <w:t xml:space="preserve"> discipline</w:t>
      </w:r>
      <w:r>
        <w:t xml:space="preserve"> category</w:t>
      </w:r>
      <w:r w:rsidRPr="00FE2758">
        <w:t xml:space="preserve">. Further refinement, research and test of the model </w:t>
      </w:r>
      <w:r>
        <w:t>components</w:t>
      </w:r>
      <w:r w:rsidRPr="00FE2758">
        <w:t xml:space="preserve"> are </w:t>
      </w:r>
      <w:r>
        <w:t>also recommended</w:t>
      </w:r>
      <w:r w:rsidRPr="00FE2758">
        <w:t>.</w:t>
      </w:r>
    </w:p>
    <w:p w:rsidR="006B405F" w:rsidRPr="008D7A1E" w:rsidRDefault="006B405F" w:rsidP="006B405F">
      <w:pPr>
        <w:pStyle w:val="Heading3"/>
      </w:pPr>
      <w:r w:rsidRPr="008D7A1E">
        <w:t>References</w:t>
      </w:r>
    </w:p>
    <w:p w:rsidR="006B405F" w:rsidRPr="00C4330F" w:rsidRDefault="006B405F" w:rsidP="006B405F">
      <w:pPr>
        <w:ind w:left="720" w:hanging="720"/>
        <w:rPr>
          <w:sz w:val="20"/>
        </w:rPr>
      </w:pPr>
      <w:proofErr w:type="spellStart"/>
      <w:proofErr w:type="gramStart"/>
      <w:r w:rsidRPr="00C4330F">
        <w:rPr>
          <w:sz w:val="20"/>
        </w:rPr>
        <w:t>Avci</w:t>
      </w:r>
      <w:proofErr w:type="spellEnd"/>
      <w:r w:rsidRPr="00C4330F">
        <w:rPr>
          <w:sz w:val="20"/>
        </w:rPr>
        <w:t xml:space="preserve">, U. &amp; </w:t>
      </w:r>
      <w:proofErr w:type="spellStart"/>
      <w:r w:rsidRPr="00C4330F">
        <w:rPr>
          <w:sz w:val="20"/>
        </w:rPr>
        <w:t>Askar</w:t>
      </w:r>
      <w:proofErr w:type="spellEnd"/>
      <w:r w:rsidRPr="00C4330F">
        <w:rPr>
          <w:sz w:val="20"/>
        </w:rPr>
        <w:t>, P. (2012).</w:t>
      </w:r>
      <w:proofErr w:type="gramEnd"/>
      <w:r w:rsidRPr="00C4330F">
        <w:rPr>
          <w:sz w:val="20"/>
        </w:rPr>
        <w:t xml:space="preserve"> </w:t>
      </w:r>
      <w:proofErr w:type="gramStart"/>
      <w:r w:rsidRPr="00C4330F">
        <w:rPr>
          <w:sz w:val="20"/>
        </w:rPr>
        <w:t>The comparison of the opinions of the university students on the usage of blog and wiki for their courses.</w:t>
      </w:r>
      <w:proofErr w:type="gramEnd"/>
      <w:r w:rsidRPr="00C4330F">
        <w:rPr>
          <w:sz w:val="20"/>
        </w:rPr>
        <w:t xml:space="preserve"> </w:t>
      </w:r>
      <w:r w:rsidRPr="00C4330F">
        <w:rPr>
          <w:i/>
          <w:sz w:val="20"/>
        </w:rPr>
        <w:t>Educational Technology &amp; Society, 15</w:t>
      </w:r>
      <w:r w:rsidRPr="00C4330F">
        <w:rPr>
          <w:sz w:val="20"/>
        </w:rPr>
        <w:t xml:space="preserve">(2), 194-205. Retrieved from </w:t>
      </w:r>
      <w:hyperlink r:id="rId21" w:history="1">
        <w:r w:rsidRPr="00C4330F">
          <w:rPr>
            <w:color w:val="0000FF"/>
            <w:sz w:val="20"/>
            <w:u w:val="single"/>
          </w:rPr>
          <w:t>http://ehis.ebscohost.com/eds/detail?vid=24&amp;hid=102&amp;sid=8e61a759-5c18-480f-afcf-2380c2e7e420%40sessionmgr104&amp;bdata=JnNpdGU9ZWRzLWxpdmU%3d</w:t>
        </w:r>
      </w:hyperlink>
    </w:p>
    <w:p w:rsidR="006B405F" w:rsidRPr="00C4330F" w:rsidRDefault="006B405F" w:rsidP="006B405F">
      <w:pPr>
        <w:ind w:left="720" w:hanging="720"/>
        <w:rPr>
          <w:sz w:val="20"/>
        </w:rPr>
      </w:pPr>
      <w:proofErr w:type="gramStart"/>
      <w:r w:rsidRPr="00C4330F">
        <w:rPr>
          <w:sz w:val="20"/>
        </w:rPr>
        <w:t>Baucus, M. S., Norton, Jr. W. I., Baucus, D. A. &amp; Human, S. H. (2007).</w:t>
      </w:r>
      <w:proofErr w:type="gramEnd"/>
      <w:r w:rsidRPr="00C4330F">
        <w:rPr>
          <w:sz w:val="20"/>
        </w:rPr>
        <w:t xml:space="preserve"> </w:t>
      </w:r>
      <w:proofErr w:type="gramStart"/>
      <w:r w:rsidRPr="00C4330F">
        <w:rPr>
          <w:sz w:val="20"/>
        </w:rPr>
        <w:t>Fostering creativity and innovation without unethical behavior.</w:t>
      </w:r>
      <w:proofErr w:type="gramEnd"/>
      <w:r w:rsidRPr="00C4330F">
        <w:rPr>
          <w:sz w:val="20"/>
        </w:rPr>
        <w:t xml:space="preserve"> </w:t>
      </w:r>
      <w:r w:rsidRPr="00C4330F">
        <w:rPr>
          <w:i/>
          <w:sz w:val="20"/>
        </w:rPr>
        <w:t>Journal of Business Ethics, 81</w:t>
      </w:r>
      <w:r w:rsidRPr="00C4330F">
        <w:rPr>
          <w:sz w:val="20"/>
        </w:rPr>
        <w:t>(1), 97-115.</w:t>
      </w:r>
    </w:p>
    <w:p w:rsidR="006B405F" w:rsidRPr="00C4330F" w:rsidRDefault="006B405F" w:rsidP="006B405F">
      <w:pPr>
        <w:ind w:left="720" w:hanging="720"/>
        <w:rPr>
          <w:color w:val="0000FF"/>
          <w:sz w:val="20"/>
          <w:u w:val="single"/>
        </w:rPr>
      </w:pPr>
      <w:proofErr w:type="spellStart"/>
      <w:proofErr w:type="gramStart"/>
      <w:r w:rsidRPr="00C4330F">
        <w:rPr>
          <w:sz w:val="20"/>
        </w:rPr>
        <w:t>Bojanova</w:t>
      </w:r>
      <w:proofErr w:type="spellEnd"/>
      <w:r w:rsidRPr="00C4330F">
        <w:rPr>
          <w:sz w:val="20"/>
        </w:rPr>
        <w:t>, I. &amp; Pang, L.</w:t>
      </w:r>
      <w:proofErr w:type="gramEnd"/>
      <w:r w:rsidRPr="00C4330F">
        <w:rPr>
          <w:sz w:val="20"/>
        </w:rPr>
        <w:t xml:space="preserve">  (2010). Enhancing graduate courses through creative application of cutting edge technologies. </w:t>
      </w:r>
      <w:r w:rsidRPr="00C4330F">
        <w:rPr>
          <w:i/>
          <w:sz w:val="20"/>
        </w:rPr>
        <w:t>International Journal of Learning, 17</w:t>
      </w:r>
      <w:r w:rsidRPr="00C4330F">
        <w:rPr>
          <w:sz w:val="20"/>
        </w:rPr>
        <w:t xml:space="preserve">(3), 25-240. Retrieved from </w:t>
      </w:r>
      <w:hyperlink r:id="rId22" w:history="1">
        <w:r w:rsidRPr="00C4330F">
          <w:rPr>
            <w:color w:val="0000FF"/>
            <w:sz w:val="20"/>
            <w:u w:val="single"/>
          </w:rPr>
          <w:t>http://ehis.ebscohost.com/eds/detail?vid=16&amp;hid=116&amp;sid=dfd09771-339d-48ef-a914-9cb536f4daac%40sessionmgr112&amp;bdata=JnNpdGU9ZWRzLWxpdmU%3d</w:t>
        </w:r>
      </w:hyperlink>
    </w:p>
    <w:p w:rsidR="006B405F" w:rsidRPr="00C4330F" w:rsidRDefault="006B405F" w:rsidP="006B405F">
      <w:pPr>
        <w:ind w:left="720" w:hanging="720"/>
        <w:rPr>
          <w:sz w:val="20"/>
        </w:rPr>
      </w:pPr>
      <w:proofErr w:type="gramStart"/>
      <w:r w:rsidRPr="00C4330F">
        <w:rPr>
          <w:sz w:val="20"/>
        </w:rPr>
        <w:t>Craft, A. (2006).</w:t>
      </w:r>
      <w:proofErr w:type="gramEnd"/>
      <w:r w:rsidRPr="00C4330F">
        <w:rPr>
          <w:sz w:val="20"/>
        </w:rPr>
        <w:t xml:space="preserve"> </w:t>
      </w:r>
      <w:proofErr w:type="gramStart"/>
      <w:r w:rsidRPr="00C4330F">
        <w:rPr>
          <w:sz w:val="20"/>
        </w:rPr>
        <w:t>Creativity in schools.</w:t>
      </w:r>
      <w:proofErr w:type="gramEnd"/>
      <w:r w:rsidRPr="00C4330F">
        <w:rPr>
          <w:sz w:val="20"/>
        </w:rPr>
        <w:t xml:space="preserve"> In Jackson, N., Oliver, Malcolm, S. &amp; Wisdom, J. (Eds.). </w:t>
      </w:r>
      <w:proofErr w:type="gramStart"/>
      <w:r w:rsidRPr="00C4330F">
        <w:rPr>
          <w:i/>
          <w:sz w:val="20"/>
        </w:rPr>
        <w:t>Developing creativity in higher education: An imaginative curriculum</w:t>
      </w:r>
      <w:r w:rsidRPr="00C4330F">
        <w:rPr>
          <w:sz w:val="20"/>
        </w:rPr>
        <w:t>, (pp. 19-28).</w:t>
      </w:r>
      <w:proofErr w:type="gramEnd"/>
      <w:r w:rsidRPr="00C4330F">
        <w:rPr>
          <w:sz w:val="20"/>
        </w:rPr>
        <w:t xml:space="preserve"> New York: </w:t>
      </w:r>
      <w:proofErr w:type="spellStart"/>
      <w:r w:rsidRPr="00C4330F">
        <w:rPr>
          <w:sz w:val="20"/>
        </w:rPr>
        <w:t>Routledge</w:t>
      </w:r>
      <w:proofErr w:type="spellEnd"/>
      <w:r w:rsidRPr="00C4330F">
        <w:rPr>
          <w:sz w:val="20"/>
        </w:rPr>
        <w:t>.</w:t>
      </w:r>
    </w:p>
    <w:p w:rsidR="006B405F" w:rsidRPr="00C4330F" w:rsidRDefault="006B405F" w:rsidP="006B405F">
      <w:pPr>
        <w:ind w:left="720" w:hanging="720"/>
        <w:rPr>
          <w:sz w:val="20"/>
        </w:rPr>
      </w:pPr>
      <w:proofErr w:type="spellStart"/>
      <w:proofErr w:type="gramStart"/>
      <w:r w:rsidRPr="00C4330F">
        <w:rPr>
          <w:sz w:val="20"/>
        </w:rPr>
        <w:t>Cropley</w:t>
      </w:r>
      <w:proofErr w:type="spellEnd"/>
      <w:r w:rsidRPr="00C4330F">
        <w:rPr>
          <w:sz w:val="20"/>
        </w:rPr>
        <w:t xml:space="preserve">, D.H., </w:t>
      </w:r>
      <w:proofErr w:type="spellStart"/>
      <w:r w:rsidRPr="00C4330F">
        <w:rPr>
          <w:sz w:val="20"/>
        </w:rPr>
        <w:t>Cropley</w:t>
      </w:r>
      <w:proofErr w:type="spellEnd"/>
      <w:r w:rsidRPr="00C4330F">
        <w:rPr>
          <w:sz w:val="20"/>
        </w:rPr>
        <w:t xml:space="preserve">, A. J., Kaufman, J.C., &amp; </w:t>
      </w:r>
      <w:proofErr w:type="spellStart"/>
      <w:r w:rsidRPr="00C4330F">
        <w:rPr>
          <w:sz w:val="20"/>
        </w:rPr>
        <w:t>Runco</w:t>
      </w:r>
      <w:proofErr w:type="spellEnd"/>
      <w:r w:rsidRPr="00C4330F">
        <w:rPr>
          <w:sz w:val="20"/>
        </w:rPr>
        <w:t>, M.A. (Eds.) (2010).</w:t>
      </w:r>
      <w:proofErr w:type="gramEnd"/>
      <w:r w:rsidRPr="00C4330F">
        <w:rPr>
          <w:sz w:val="20"/>
        </w:rPr>
        <w:t xml:space="preserve"> </w:t>
      </w:r>
      <w:proofErr w:type="gramStart"/>
      <w:r w:rsidRPr="00C4330F">
        <w:rPr>
          <w:i/>
          <w:sz w:val="20"/>
        </w:rPr>
        <w:t>The dark side of creativity</w:t>
      </w:r>
      <w:r w:rsidRPr="00C4330F">
        <w:rPr>
          <w:sz w:val="20"/>
        </w:rPr>
        <w:t>.</w:t>
      </w:r>
      <w:proofErr w:type="gramEnd"/>
      <w:r w:rsidRPr="00C4330F">
        <w:rPr>
          <w:sz w:val="20"/>
        </w:rPr>
        <w:t xml:space="preserve"> New York: Cambridge University Press.</w:t>
      </w:r>
    </w:p>
    <w:p w:rsidR="006B405F" w:rsidRPr="00C4330F" w:rsidRDefault="006B405F" w:rsidP="006B405F">
      <w:pPr>
        <w:ind w:left="720" w:hanging="720"/>
        <w:rPr>
          <w:sz w:val="20"/>
        </w:rPr>
      </w:pPr>
      <w:r w:rsidRPr="00C4330F">
        <w:rPr>
          <w:sz w:val="20"/>
        </w:rPr>
        <w:t xml:space="preserve">De Bono, E., (1992). </w:t>
      </w:r>
      <w:r w:rsidRPr="00C4330F">
        <w:rPr>
          <w:i/>
          <w:iCs/>
          <w:sz w:val="20"/>
        </w:rPr>
        <w:t>Serious creativity: using the power of lateral thinking to create new ideas</w:t>
      </w:r>
      <w:r w:rsidRPr="00C4330F">
        <w:rPr>
          <w:sz w:val="20"/>
        </w:rPr>
        <w:t>. New York, NY: Harper Business.</w:t>
      </w:r>
    </w:p>
    <w:p w:rsidR="006B405F" w:rsidRPr="00C4330F" w:rsidRDefault="006B405F" w:rsidP="006B405F">
      <w:pPr>
        <w:ind w:left="720" w:hanging="720"/>
        <w:rPr>
          <w:sz w:val="20"/>
        </w:rPr>
      </w:pPr>
      <w:proofErr w:type="spellStart"/>
      <w:proofErr w:type="gramStart"/>
      <w:r w:rsidRPr="00C4330F">
        <w:rPr>
          <w:sz w:val="20"/>
        </w:rPr>
        <w:t>Glotzbach</w:t>
      </w:r>
      <w:proofErr w:type="spellEnd"/>
      <w:r w:rsidRPr="00C4330F">
        <w:rPr>
          <w:sz w:val="20"/>
        </w:rPr>
        <w:t xml:space="preserve">, R. J., </w:t>
      </w:r>
      <w:proofErr w:type="spellStart"/>
      <w:r w:rsidRPr="00C4330F">
        <w:rPr>
          <w:sz w:val="20"/>
        </w:rPr>
        <w:t>Mordkovich</w:t>
      </w:r>
      <w:proofErr w:type="spellEnd"/>
      <w:r w:rsidRPr="00C4330F">
        <w:rPr>
          <w:sz w:val="20"/>
        </w:rPr>
        <w:t xml:space="preserve">, D. A. &amp; </w:t>
      </w:r>
      <w:proofErr w:type="spellStart"/>
      <w:r w:rsidRPr="00C4330F">
        <w:rPr>
          <w:sz w:val="20"/>
        </w:rPr>
        <w:t>Radwan</w:t>
      </w:r>
      <w:proofErr w:type="spellEnd"/>
      <w:r w:rsidRPr="00C4330F">
        <w:rPr>
          <w:sz w:val="20"/>
        </w:rPr>
        <w:t>, J. E. (2008).</w:t>
      </w:r>
      <w:proofErr w:type="gramEnd"/>
      <w:r w:rsidRPr="00C4330F">
        <w:rPr>
          <w:sz w:val="20"/>
        </w:rPr>
        <w:t xml:space="preserve"> </w:t>
      </w:r>
      <w:proofErr w:type="gramStart"/>
      <w:r w:rsidRPr="00C4330F">
        <w:rPr>
          <w:sz w:val="20"/>
        </w:rPr>
        <w:t>Syndicated RSS Feeds for Course Information Distribution.</w:t>
      </w:r>
      <w:proofErr w:type="gramEnd"/>
      <w:r w:rsidRPr="00C4330F">
        <w:rPr>
          <w:sz w:val="20"/>
        </w:rPr>
        <w:t xml:space="preserve"> </w:t>
      </w:r>
      <w:proofErr w:type="gramStart"/>
      <w:r w:rsidRPr="00C4330F">
        <w:rPr>
          <w:i/>
          <w:sz w:val="20"/>
        </w:rPr>
        <w:t>Technology Education, 7</w:t>
      </w:r>
      <w:r w:rsidRPr="00C4330F">
        <w:rPr>
          <w:sz w:val="20"/>
        </w:rPr>
        <w:t>.</w:t>
      </w:r>
      <w:proofErr w:type="gramEnd"/>
      <w:r w:rsidRPr="00C4330F">
        <w:rPr>
          <w:sz w:val="20"/>
        </w:rPr>
        <w:t xml:space="preserve"> Retrieved from </w:t>
      </w:r>
      <w:hyperlink r:id="rId23" w:history="1">
        <w:r w:rsidRPr="00C4330F">
          <w:rPr>
            <w:color w:val="0000FF"/>
            <w:sz w:val="20"/>
            <w:u w:val="single"/>
          </w:rPr>
          <w:t>https://ehis.ebscohost.com/eds/detail?vid=2&amp;hid=103&amp;sid=15ec666d-9529-46b7-9b0c-ca2f59415c7d%40sessionmgr111&amp;bdata=JnNpdGU9ZWRzLWxpdmU%3d</w:t>
        </w:r>
      </w:hyperlink>
    </w:p>
    <w:p w:rsidR="006B405F" w:rsidRPr="00C4330F" w:rsidRDefault="006B405F" w:rsidP="006B405F">
      <w:pPr>
        <w:ind w:left="720" w:hanging="720"/>
        <w:rPr>
          <w:sz w:val="20"/>
        </w:rPr>
      </w:pPr>
      <w:r w:rsidRPr="00C4330F">
        <w:rPr>
          <w:sz w:val="20"/>
        </w:rPr>
        <w:t xml:space="preserve">Green, M. (2011). Better, smarter, faster: Web 3.0 and the future of learning. </w:t>
      </w:r>
      <w:r w:rsidRPr="00C4330F">
        <w:rPr>
          <w:i/>
          <w:sz w:val="20"/>
        </w:rPr>
        <w:t>T+D, 65</w:t>
      </w:r>
      <w:r w:rsidRPr="00C4330F">
        <w:rPr>
          <w:sz w:val="20"/>
        </w:rPr>
        <w:t xml:space="preserve">(4), 70-72. Retrieved from </w:t>
      </w:r>
      <w:hyperlink r:id="rId24" w:history="1">
        <w:r w:rsidRPr="00C4330F">
          <w:rPr>
            <w:color w:val="0000FF"/>
            <w:sz w:val="20"/>
            <w:u w:val="single"/>
          </w:rPr>
          <w:t>https://ehis.ebscohost.com/eds/detail?vid=4&amp;hid=121&amp;sid=3e62b98c-2149-41f6-95b7-2e2c44a8680d%40sessionmgr110&amp;bdata=JnNpdGU9ZWRzLWxpdmU%3d</w:t>
        </w:r>
      </w:hyperlink>
    </w:p>
    <w:p w:rsidR="006B405F" w:rsidRPr="00C4330F" w:rsidRDefault="006B405F" w:rsidP="006B405F">
      <w:pPr>
        <w:ind w:left="720" w:hanging="720"/>
        <w:rPr>
          <w:sz w:val="20"/>
        </w:rPr>
      </w:pPr>
      <w:r w:rsidRPr="00C4330F">
        <w:rPr>
          <w:sz w:val="20"/>
        </w:rPr>
        <w:t xml:space="preserve">Hargreaves, A. &amp; Dennis, S. (2008). Beyond standardization: Powerful New Principles for Improvement. </w:t>
      </w:r>
      <w:r w:rsidRPr="00C4330F">
        <w:rPr>
          <w:i/>
          <w:sz w:val="20"/>
        </w:rPr>
        <w:t xml:space="preserve">Phi Delta </w:t>
      </w:r>
      <w:proofErr w:type="spellStart"/>
      <w:r w:rsidRPr="00C4330F">
        <w:rPr>
          <w:i/>
          <w:sz w:val="20"/>
        </w:rPr>
        <w:t>Kappan</w:t>
      </w:r>
      <w:proofErr w:type="spellEnd"/>
      <w:r w:rsidRPr="00C4330F">
        <w:rPr>
          <w:i/>
          <w:sz w:val="20"/>
        </w:rPr>
        <w:t>, 90</w:t>
      </w:r>
      <w:r w:rsidRPr="00C4330F">
        <w:rPr>
          <w:sz w:val="20"/>
        </w:rPr>
        <w:t>(2), 135-143. Retrieved from https://ehis.ebscohost.com/eds/detail?vid=8&amp;hid=20&amp;sid=88456a9c-8f9f-47df-a6f5-bc6c97daf8fa%40sessionmgr10&amp;bdata=JnNpdGU9ZWRzLWxpdmU%3d</w:t>
      </w:r>
    </w:p>
    <w:p w:rsidR="006B405F" w:rsidRPr="00C4330F" w:rsidRDefault="006B405F" w:rsidP="006B405F">
      <w:pPr>
        <w:ind w:left="720" w:hanging="720"/>
        <w:rPr>
          <w:sz w:val="20"/>
        </w:rPr>
      </w:pPr>
      <w:r w:rsidRPr="00C4330F">
        <w:rPr>
          <w:sz w:val="20"/>
        </w:rPr>
        <w:t xml:space="preserve">Harris, R. (1998). </w:t>
      </w:r>
      <w:r w:rsidRPr="00C4330F">
        <w:rPr>
          <w:i/>
          <w:iCs/>
          <w:sz w:val="20"/>
        </w:rPr>
        <w:t xml:space="preserve">Introduction to creative </w:t>
      </w:r>
      <w:proofErr w:type="spellStart"/>
      <w:r w:rsidRPr="00C4330F">
        <w:rPr>
          <w:i/>
          <w:iCs/>
          <w:sz w:val="20"/>
        </w:rPr>
        <w:t>thinking.</w:t>
      </w:r>
      <w:r w:rsidRPr="00C4330F">
        <w:rPr>
          <w:iCs/>
          <w:sz w:val="20"/>
        </w:rPr>
        <w:t>R</w:t>
      </w:r>
      <w:r w:rsidRPr="00C4330F">
        <w:rPr>
          <w:sz w:val="20"/>
        </w:rPr>
        <w:t>etrieved</w:t>
      </w:r>
      <w:proofErr w:type="spellEnd"/>
      <w:r w:rsidRPr="00C4330F">
        <w:rPr>
          <w:sz w:val="20"/>
        </w:rPr>
        <w:t xml:space="preserve"> from </w:t>
      </w:r>
      <w:hyperlink r:id="rId25" w:history="1">
        <w:r w:rsidRPr="00C4330F">
          <w:rPr>
            <w:color w:val="0000FF"/>
            <w:sz w:val="20"/>
            <w:u w:val="single"/>
          </w:rPr>
          <w:t>http://www.virtualsalt.com/crebook1.htm</w:t>
        </w:r>
      </w:hyperlink>
    </w:p>
    <w:p w:rsidR="006B405F" w:rsidRPr="00C4330F" w:rsidRDefault="006B405F" w:rsidP="006B405F">
      <w:pPr>
        <w:ind w:left="720" w:hanging="720"/>
        <w:rPr>
          <w:sz w:val="20"/>
        </w:rPr>
      </w:pPr>
      <w:proofErr w:type="gramStart"/>
      <w:r w:rsidRPr="00C4330F">
        <w:rPr>
          <w:sz w:val="20"/>
        </w:rPr>
        <w:t>Hong, S. &amp; Jung, I. (2010).</w:t>
      </w:r>
      <w:proofErr w:type="gramEnd"/>
      <w:r w:rsidRPr="00C4330F">
        <w:rPr>
          <w:sz w:val="20"/>
        </w:rPr>
        <w:t xml:space="preserve"> The distance learner competencies: a three-phased empirical approach. </w:t>
      </w:r>
      <w:r w:rsidRPr="00C4330F">
        <w:rPr>
          <w:i/>
          <w:sz w:val="20"/>
        </w:rPr>
        <w:t>Educational Technology Research &amp; Development, 59</w:t>
      </w:r>
      <w:r w:rsidRPr="00C4330F">
        <w:rPr>
          <w:sz w:val="20"/>
        </w:rPr>
        <w:t xml:space="preserve">(1), 21-42. </w:t>
      </w:r>
      <w:proofErr w:type="gramStart"/>
      <w:r w:rsidRPr="00C4330F">
        <w:rPr>
          <w:sz w:val="20"/>
        </w:rPr>
        <w:t>doi:</w:t>
      </w:r>
      <w:proofErr w:type="gramEnd"/>
      <w:r w:rsidRPr="00C4330F">
        <w:rPr>
          <w:sz w:val="20"/>
        </w:rPr>
        <w:t xml:space="preserve">10.1007/s11423-010-9164-3 </w:t>
      </w:r>
    </w:p>
    <w:p w:rsidR="006B405F" w:rsidRPr="00C4330F" w:rsidRDefault="006B405F" w:rsidP="006B405F">
      <w:pPr>
        <w:ind w:left="720" w:hanging="720"/>
        <w:rPr>
          <w:sz w:val="20"/>
        </w:rPr>
      </w:pPr>
      <w:r w:rsidRPr="00C4330F">
        <w:rPr>
          <w:sz w:val="20"/>
        </w:rPr>
        <w:t xml:space="preserve">Howe, M. J. A. (1999). </w:t>
      </w:r>
      <w:r w:rsidRPr="00C4330F">
        <w:rPr>
          <w:i/>
          <w:iCs/>
          <w:sz w:val="20"/>
        </w:rPr>
        <w:t>Genius explained</w:t>
      </w:r>
      <w:r w:rsidRPr="00C4330F">
        <w:rPr>
          <w:sz w:val="20"/>
        </w:rPr>
        <w:t>. Cambridge, England: Cambridge University Press.</w:t>
      </w:r>
    </w:p>
    <w:p w:rsidR="006B405F" w:rsidRPr="00C4330F" w:rsidRDefault="006B405F" w:rsidP="006B405F">
      <w:pPr>
        <w:ind w:left="720" w:hanging="720"/>
        <w:rPr>
          <w:sz w:val="20"/>
        </w:rPr>
      </w:pPr>
      <w:r w:rsidRPr="00C4330F">
        <w:rPr>
          <w:sz w:val="20"/>
        </w:rPr>
        <w:t xml:space="preserve">Kuhn, T. S. (1996). </w:t>
      </w:r>
      <w:proofErr w:type="gramStart"/>
      <w:r w:rsidRPr="00C4330F">
        <w:rPr>
          <w:i/>
          <w:sz w:val="20"/>
        </w:rPr>
        <w:t>The structure of scientific revolutions</w:t>
      </w:r>
      <w:r w:rsidRPr="00C4330F">
        <w:rPr>
          <w:sz w:val="20"/>
        </w:rPr>
        <w:t>.</w:t>
      </w:r>
      <w:proofErr w:type="gramEnd"/>
      <w:r w:rsidRPr="00C4330F">
        <w:rPr>
          <w:sz w:val="20"/>
        </w:rPr>
        <w:t xml:space="preserve"> (3rd </w:t>
      </w:r>
      <w:proofErr w:type="gramStart"/>
      <w:r w:rsidRPr="00C4330F">
        <w:rPr>
          <w:sz w:val="20"/>
        </w:rPr>
        <w:t>ed</w:t>
      </w:r>
      <w:proofErr w:type="gramEnd"/>
      <w:r w:rsidRPr="00C4330F">
        <w:rPr>
          <w:sz w:val="20"/>
        </w:rPr>
        <w:t xml:space="preserve">.) Chicago, IL: University of Chicago Press. </w:t>
      </w:r>
    </w:p>
    <w:p w:rsidR="006B405F" w:rsidRPr="00C4330F" w:rsidRDefault="006B405F" w:rsidP="006B405F">
      <w:pPr>
        <w:ind w:left="720" w:hanging="720"/>
        <w:rPr>
          <w:sz w:val="20"/>
        </w:rPr>
      </w:pPr>
      <w:proofErr w:type="spellStart"/>
      <w:r w:rsidRPr="00C4330F">
        <w:rPr>
          <w:sz w:val="20"/>
        </w:rPr>
        <w:t>Imber</w:t>
      </w:r>
      <w:proofErr w:type="spellEnd"/>
      <w:r w:rsidRPr="00C4330F">
        <w:rPr>
          <w:sz w:val="20"/>
        </w:rPr>
        <w:t>, A. (</w:t>
      </w:r>
      <w:proofErr w:type="gramStart"/>
      <w:r w:rsidRPr="00C4330F">
        <w:rPr>
          <w:sz w:val="20"/>
        </w:rPr>
        <w:t>Spring</w:t>
      </w:r>
      <w:proofErr w:type="gramEnd"/>
      <w:r w:rsidRPr="00C4330F">
        <w:rPr>
          <w:sz w:val="20"/>
        </w:rPr>
        <w:t xml:space="preserve">, 2011). </w:t>
      </w:r>
      <w:proofErr w:type="gramStart"/>
      <w:r w:rsidRPr="00C4330F">
        <w:rPr>
          <w:sz w:val="20"/>
        </w:rPr>
        <w:t>Predicting the unpredictable.</w:t>
      </w:r>
      <w:proofErr w:type="gramEnd"/>
      <w:r w:rsidRPr="00C4330F">
        <w:rPr>
          <w:sz w:val="20"/>
        </w:rPr>
        <w:t xml:space="preserve"> </w:t>
      </w:r>
      <w:r w:rsidRPr="00C4330F">
        <w:rPr>
          <w:i/>
          <w:iCs/>
          <w:sz w:val="20"/>
        </w:rPr>
        <w:t xml:space="preserve">Fast Thinking, </w:t>
      </w:r>
      <w:r w:rsidRPr="00C4330F">
        <w:rPr>
          <w:sz w:val="20"/>
        </w:rPr>
        <w:t>80-83.</w:t>
      </w:r>
    </w:p>
    <w:p w:rsidR="006B405F" w:rsidRPr="00C4330F" w:rsidRDefault="006B405F" w:rsidP="006B405F">
      <w:pPr>
        <w:ind w:left="720" w:hanging="720"/>
        <w:rPr>
          <w:sz w:val="20"/>
        </w:rPr>
      </w:pPr>
      <w:proofErr w:type="gramStart"/>
      <w:r w:rsidRPr="00C4330F">
        <w:rPr>
          <w:sz w:val="20"/>
        </w:rPr>
        <w:t>Kaufman, J. C. &amp; Sternberg, R. J. (2007).</w:t>
      </w:r>
      <w:proofErr w:type="gramEnd"/>
      <w:r w:rsidRPr="00C4330F">
        <w:rPr>
          <w:sz w:val="20"/>
        </w:rPr>
        <w:t xml:space="preserve"> Resource review: Creativity. </w:t>
      </w:r>
      <w:r w:rsidRPr="00C4330F">
        <w:rPr>
          <w:i/>
          <w:sz w:val="20"/>
        </w:rPr>
        <w:t>Change, 39</w:t>
      </w:r>
      <w:r w:rsidRPr="00C4330F">
        <w:rPr>
          <w:sz w:val="20"/>
        </w:rPr>
        <w:t xml:space="preserve"> (4), 55-58.</w:t>
      </w:r>
    </w:p>
    <w:p w:rsidR="006B405F" w:rsidRPr="00C4330F" w:rsidRDefault="006B405F" w:rsidP="006B405F">
      <w:pPr>
        <w:ind w:left="720" w:hanging="720"/>
        <w:rPr>
          <w:sz w:val="20"/>
        </w:rPr>
      </w:pPr>
      <w:proofErr w:type="spellStart"/>
      <w:proofErr w:type="gramStart"/>
      <w:r w:rsidRPr="00C4330F">
        <w:rPr>
          <w:sz w:val="20"/>
        </w:rPr>
        <w:t>Kohli</w:t>
      </w:r>
      <w:proofErr w:type="spellEnd"/>
      <w:r w:rsidRPr="00C4330F">
        <w:rPr>
          <w:sz w:val="20"/>
        </w:rPr>
        <w:t>, M. D. &amp; Bradshaw, J. (2011).</w:t>
      </w:r>
      <w:proofErr w:type="gramEnd"/>
      <w:r w:rsidRPr="00C4330F">
        <w:rPr>
          <w:sz w:val="20"/>
        </w:rPr>
        <w:t xml:space="preserve"> What is a wiki, and how can it be used in resident education? </w:t>
      </w:r>
      <w:r w:rsidRPr="00C4330F">
        <w:rPr>
          <w:i/>
          <w:sz w:val="20"/>
        </w:rPr>
        <w:t>Journal of Digital Imaging, 24</w:t>
      </w:r>
      <w:r w:rsidRPr="00C4330F">
        <w:rPr>
          <w:sz w:val="20"/>
        </w:rPr>
        <w:t>(1), 170-5.doi:10.1007/s10278-010-9292-7</w:t>
      </w:r>
    </w:p>
    <w:p w:rsidR="006B405F" w:rsidRPr="00C4330F" w:rsidRDefault="006B405F" w:rsidP="006B405F">
      <w:pPr>
        <w:ind w:left="720" w:hanging="720"/>
        <w:rPr>
          <w:sz w:val="20"/>
        </w:rPr>
      </w:pPr>
      <w:proofErr w:type="gramStart"/>
      <w:r w:rsidRPr="00C4330F">
        <w:rPr>
          <w:sz w:val="20"/>
        </w:rPr>
        <w:t>Lee, S., Barker, T. &amp; Kumar, V. (2011).</w:t>
      </w:r>
      <w:proofErr w:type="gramEnd"/>
      <w:r w:rsidRPr="00C4330F">
        <w:rPr>
          <w:sz w:val="20"/>
        </w:rPr>
        <w:t xml:space="preserve"> Models of eLearning: The development of a learner-directed adaptive eLearning system. </w:t>
      </w:r>
      <w:r w:rsidRPr="00C4330F">
        <w:rPr>
          <w:i/>
          <w:sz w:val="20"/>
        </w:rPr>
        <w:t>Proceedings of the European Conference on e-Learning</w:t>
      </w:r>
      <w:r w:rsidRPr="00C4330F">
        <w:rPr>
          <w:sz w:val="20"/>
        </w:rPr>
        <w:t xml:space="preserve">, 391-399. Retrieved from </w:t>
      </w:r>
      <w:hyperlink r:id="rId26" w:history="1">
        <w:r w:rsidRPr="00C4330F">
          <w:rPr>
            <w:color w:val="0000FF"/>
            <w:sz w:val="20"/>
            <w:u w:val="single"/>
          </w:rPr>
          <w:t>https://ehis.ebscohost.com/eds/detail?vid=8&amp;hid=109&amp;sid=852bc5cb-47d5-41fe-b732-f7bbccc7dd62%40sessionmgr114&amp;bdata=JnNpdGU9ZWRzLWxpdmU%3d</w:t>
        </w:r>
      </w:hyperlink>
    </w:p>
    <w:p w:rsidR="006B405F" w:rsidRPr="00C4330F" w:rsidRDefault="006B405F" w:rsidP="006B405F">
      <w:pPr>
        <w:ind w:left="720" w:hanging="720"/>
        <w:rPr>
          <w:sz w:val="20"/>
        </w:rPr>
      </w:pPr>
      <w:proofErr w:type="spellStart"/>
      <w:proofErr w:type="gramStart"/>
      <w:r w:rsidRPr="00C4330F">
        <w:rPr>
          <w:sz w:val="20"/>
        </w:rPr>
        <w:t>Luh</w:t>
      </w:r>
      <w:proofErr w:type="spellEnd"/>
      <w:r w:rsidRPr="00C4330F">
        <w:rPr>
          <w:sz w:val="20"/>
        </w:rPr>
        <w:t>, D., &amp; Lu, C. (2012).</w:t>
      </w:r>
      <w:proofErr w:type="gramEnd"/>
      <w:r w:rsidRPr="00C4330F">
        <w:rPr>
          <w:sz w:val="20"/>
        </w:rPr>
        <w:t xml:space="preserve"> From cognitive style to creativity achievement: The mediating role of passion. </w:t>
      </w:r>
      <w:r w:rsidRPr="00C4330F">
        <w:rPr>
          <w:i/>
          <w:sz w:val="20"/>
        </w:rPr>
        <w:t>Psychology of Aesthetics, Creativity, and the Arts, 6</w:t>
      </w:r>
      <w:r w:rsidRPr="00C4330F">
        <w:rPr>
          <w:sz w:val="20"/>
        </w:rPr>
        <w:t>(3), 282-288.</w:t>
      </w:r>
    </w:p>
    <w:p w:rsidR="006B405F" w:rsidRPr="00C4330F" w:rsidRDefault="006B405F" w:rsidP="006B405F">
      <w:pPr>
        <w:ind w:left="720" w:hanging="720"/>
        <w:rPr>
          <w:sz w:val="20"/>
        </w:rPr>
      </w:pPr>
      <w:r w:rsidRPr="00C4330F">
        <w:rPr>
          <w:sz w:val="20"/>
        </w:rPr>
        <w:t>Magana, A. J.</w:t>
      </w:r>
      <w:proofErr w:type="gramStart"/>
      <w:r w:rsidRPr="00C4330F">
        <w:rPr>
          <w:sz w:val="20"/>
        </w:rPr>
        <w:t xml:space="preserve">,  </w:t>
      </w:r>
      <w:proofErr w:type="spellStart"/>
      <w:r w:rsidRPr="00C4330F">
        <w:rPr>
          <w:sz w:val="20"/>
        </w:rPr>
        <w:t>Brophy,S</w:t>
      </w:r>
      <w:proofErr w:type="spellEnd"/>
      <w:proofErr w:type="gramEnd"/>
      <w:r w:rsidRPr="00C4330F">
        <w:rPr>
          <w:sz w:val="20"/>
        </w:rPr>
        <w:t xml:space="preserve">. P. &amp; </w:t>
      </w:r>
      <w:proofErr w:type="spellStart"/>
      <w:r w:rsidRPr="00C4330F">
        <w:rPr>
          <w:sz w:val="20"/>
        </w:rPr>
        <w:t>Bodner</w:t>
      </w:r>
      <w:proofErr w:type="spellEnd"/>
      <w:r w:rsidRPr="00C4330F">
        <w:rPr>
          <w:sz w:val="20"/>
        </w:rPr>
        <w:t xml:space="preserve">, G. M. (2012). Instructors' intended learning outcomes for using computational simulations as learning tools. </w:t>
      </w:r>
      <w:r w:rsidRPr="00C4330F">
        <w:rPr>
          <w:i/>
          <w:sz w:val="20"/>
        </w:rPr>
        <w:t>Journal of Engineering Education, 101</w:t>
      </w:r>
      <w:r w:rsidRPr="00C4330F">
        <w:rPr>
          <w:sz w:val="20"/>
        </w:rPr>
        <w:t xml:space="preserve">(2), 220-243. Retrieved from </w:t>
      </w:r>
      <w:hyperlink r:id="rId27" w:history="1">
        <w:r w:rsidRPr="00C4330F">
          <w:rPr>
            <w:color w:val="0000FF"/>
            <w:sz w:val="20"/>
            <w:u w:val="single"/>
          </w:rPr>
          <w:t>https://ehis.ebscohost.com/eds/detail?vid=9&amp;hid=103&amp;sid=15ec666d-9529-46b7-9b0c-ca2f59415c7d%40sessionmgr111&amp;bdata=JnNpdGU9ZWRzLWxpdmU%3d</w:t>
        </w:r>
      </w:hyperlink>
    </w:p>
    <w:p w:rsidR="006B405F" w:rsidRPr="00C4330F" w:rsidRDefault="006B405F" w:rsidP="006B405F">
      <w:pPr>
        <w:ind w:left="720" w:hanging="720"/>
        <w:rPr>
          <w:sz w:val="20"/>
        </w:rPr>
      </w:pPr>
      <w:proofErr w:type="spellStart"/>
      <w:r w:rsidRPr="00C4330F">
        <w:rPr>
          <w:sz w:val="20"/>
        </w:rPr>
        <w:t>Muirhead</w:t>
      </w:r>
      <w:proofErr w:type="spellEnd"/>
      <w:r w:rsidRPr="00C4330F">
        <w:rPr>
          <w:sz w:val="20"/>
        </w:rPr>
        <w:t xml:space="preserve">, B. (2011). </w:t>
      </w:r>
      <w:r w:rsidRPr="00C4330F">
        <w:rPr>
          <w:i/>
          <w:sz w:val="20"/>
        </w:rPr>
        <w:t xml:space="preserve">Wisdom: Making good choices with imperfect knowledge. </w:t>
      </w:r>
      <w:r w:rsidRPr="00C4330F">
        <w:rPr>
          <w:sz w:val="20"/>
        </w:rPr>
        <w:t>Cornelia, GA: Digital Impact Design</w:t>
      </w:r>
    </w:p>
    <w:p w:rsidR="006B405F" w:rsidRPr="00C4330F" w:rsidRDefault="006B405F" w:rsidP="006B405F">
      <w:pPr>
        <w:ind w:left="720" w:hanging="720"/>
        <w:rPr>
          <w:sz w:val="20"/>
        </w:rPr>
      </w:pPr>
      <w:proofErr w:type="spellStart"/>
      <w:proofErr w:type="gramStart"/>
      <w:r w:rsidRPr="00C4330F">
        <w:rPr>
          <w:sz w:val="20"/>
        </w:rPr>
        <w:t>Panagiotis</w:t>
      </w:r>
      <w:proofErr w:type="spellEnd"/>
      <w:r w:rsidRPr="00C4330F">
        <w:rPr>
          <w:sz w:val="20"/>
        </w:rPr>
        <w:t xml:space="preserve">, G. &amp; </w:t>
      </w:r>
      <w:proofErr w:type="spellStart"/>
      <w:r w:rsidRPr="00C4330F">
        <w:rPr>
          <w:sz w:val="20"/>
        </w:rPr>
        <w:t>Valtanen</w:t>
      </w:r>
      <w:proofErr w:type="spellEnd"/>
      <w:r w:rsidRPr="00C4330F">
        <w:rPr>
          <w:sz w:val="20"/>
        </w:rPr>
        <w:t xml:space="preserve">, J. (2010).Redefining creativity---analyzing definitions, collocations, and </w:t>
      </w:r>
      <w:proofErr w:type="spellStart"/>
      <w:r w:rsidRPr="00C4330F">
        <w:rPr>
          <w:sz w:val="20"/>
        </w:rPr>
        <w:t>consequences.</w:t>
      </w:r>
      <w:r w:rsidRPr="00C4330F">
        <w:rPr>
          <w:i/>
          <w:sz w:val="20"/>
        </w:rPr>
        <w:t>The</w:t>
      </w:r>
      <w:proofErr w:type="spellEnd"/>
      <w:r w:rsidRPr="00C4330F">
        <w:rPr>
          <w:i/>
          <w:sz w:val="20"/>
        </w:rPr>
        <w:t xml:space="preserve"> Journal of Creative Behavior</w:t>
      </w:r>
      <w:r w:rsidRPr="00C4330F">
        <w:rPr>
          <w:sz w:val="20"/>
        </w:rPr>
        <w:t>,</w:t>
      </w:r>
      <w:r w:rsidRPr="00C4330F">
        <w:rPr>
          <w:i/>
          <w:sz w:val="20"/>
        </w:rPr>
        <w:t xml:space="preserve"> 44</w:t>
      </w:r>
      <w:r w:rsidRPr="00C4330F">
        <w:rPr>
          <w:sz w:val="20"/>
        </w:rPr>
        <w:t>(3), 191-214.</w:t>
      </w:r>
      <w:proofErr w:type="gramEnd"/>
    </w:p>
    <w:p w:rsidR="006B405F" w:rsidRPr="00C4330F" w:rsidRDefault="006B405F" w:rsidP="006B405F">
      <w:pPr>
        <w:ind w:left="720" w:hanging="720"/>
        <w:rPr>
          <w:sz w:val="20"/>
        </w:rPr>
      </w:pPr>
      <w:proofErr w:type="gramStart"/>
      <w:r w:rsidRPr="00C4330F">
        <w:rPr>
          <w:sz w:val="20"/>
        </w:rPr>
        <w:t>Patel, C. &amp; Patel, T. (2006).</w:t>
      </w:r>
      <w:proofErr w:type="gramEnd"/>
      <w:r w:rsidRPr="00C4330F">
        <w:rPr>
          <w:sz w:val="20"/>
        </w:rPr>
        <w:t xml:space="preserve"> </w:t>
      </w:r>
      <w:proofErr w:type="gramStart"/>
      <w:r w:rsidRPr="00C4330F">
        <w:rPr>
          <w:sz w:val="20"/>
        </w:rPr>
        <w:t>Exploring a joint model of conventional and online learning systems.</w:t>
      </w:r>
      <w:proofErr w:type="gramEnd"/>
      <w:r w:rsidRPr="00C4330F">
        <w:rPr>
          <w:sz w:val="20"/>
        </w:rPr>
        <w:t xml:space="preserve"> </w:t>
      </w:r>
      <w:proofErr w:type="gramStart"/>
      <w:r w:rsidRPr="00C4330F">
        <w:rPr>
          <w:i/>
          <w:iCs/>
          <w:sz w:val="20"/>
        </w:rPr>
        <w:t>eService</w:t>
      </w:r>
      <w:proofErr w:type="gramEnd"/>
      <w:r w:rsidRPr="00C4330F">
        <w:rPr>
          <w:i/>
          <w:iCs/>
          <w:sz w:val="20"/>
        </w:rPr>
        <w:t xml:space="preserve"> Journal. </w:t>
      </w:r>
    </w:p>
    <w:p w:rsidR="006B405F" w:rsidRPr="00C4330F" w:rsidRDefault="006B405F" w:rsidP="006B405F">
      <w:pPr>
        <w:ind w:left="720" w:hanging="720"/>
        <w:rPr>
          <w:sz w:val="20"/>
        </w:rPr>
      </w:pPr>
      <w:r w:rsidRPr="00C4330F">
        <w:rPr>
          <w:sz w:val="20"/>
        </w:rPr>
        <w:t xml:space="preserve">Powell, D. (2007). Student satisfaction with a distance learning MPA Program: A preliminary comparison of on campus and distance learning students’ satisfaction with MPA courses. </w:t>
      </w:r>
      <w:proofErr w:type="gramStart"/>
      <w:r w:rsidRPr="00C4330F">
        <w:rPr>
          <w:i/>
          <w:iCs/>
          <w:sz w:val="20"/>
        </w:rPr>
        <w:t xml:space="preserve">Journal of Online Learning and Teaching, </w:t>
      </w:r>
      <w:r w:rsidRPr="00C4330F">
        <w:rPr>
          <w:sz w:val="20"/>
        </w:rPr>
        <w:t>3(1).</w:t>
      </w:r>
      <w:proofErr w:type="gramEnd"/>
    </w:p>
    <w:p w:rsidR="006B405F" w:rsidRPr="00C4330F" w:rsidRDefault="006B405F" w:rsidP="006B405F">
      <w:pPr>
        <w:ind w:left="720" w:hanging="720"/>
        <w:rPr>
          <w:sz w:val="20"/>
        </w:rPr>
      </w:pPr>
      <w:r w:rsidRPr="00C4330F">
        <w:rPr>
          <w:sz w:val="20"/>
        </w:rPr>
        <w:t xml:space="preserve">Rodriguez, J. E. (2011). Social media use in higher education: Key areas to consider for educators. </w:t>
      </w:r>
      <w:proofErr w:type="gramStart"/>
      <w:r w:rsidRPr="00C4330F">
        <w:rPr>
          <w:i/>
          <w:sz w:val="20"/>
        </w:rPr>
        <w:t>MERLOT Journal of Online Learning and Teaching, 7</w:t>
      </w:r>
      <w:r w:rsidRPr="00C4330F">
        <w:rPr>
          <w:sz w:val="20"/>
        </w:rPr>
        <w:t>(4).</w:t>
      </w:r>
      <w:proofErr w:type="gramEnd"/>
      <w:r w:rsidRPr="00C4330F">
        <w:rPr>
          <w:sz w:val="20"/>
        </w:rPr>
        <w:t xml:space="preserve">  Retrieved from </w:t>
      </w:r>
      <w:hyperlink r:id="rId28" w:history="1">
        <w:r w:rsidRPr="00C4330F">
          <w:rPr>
            <w:color w:val="0000FF"/>
            <w:sz w:val="20"/>
            <w:u w:val="single"/>
          </w:rPr>
          <w:t>http://jolt.merlot.org/vol7no4/rodriguez_1211.htm</w:t>
        </w:r>
      </w:hyperlink>
    </w:p>
    <w:p w:rsidR="006B405F" w:rsidRPr="00C4330F" w:rsidRDefault="006B405F" w:rsidP="006B405F">
      <w:pPr>
        <w:ind w:left="720" w:hanging="720"/>
        <w:rPr>
          <w:sz w:val="20"/>
        </w:rPr>
      </w:pPr>
      <w:proofErr w:type="gramStart"/>
      <w:r w:rsidRPr="00C4330F">
        <w:rPr>
          <w:sz w:val="20"/>
        </w:rPr>
        <w:t>Sawyer, R. K. (2012).</w:t>
      </w:r>
      <w:proofErr w:type="gramEnd"/>
      <w:r w:rsidRPr="00C4330F">
        <w:rPr>
          <w:sz w:val="20"/>
        </w:rPr>
        <w:t xml:space="preserve"> </w:t>
      </w:r>
      <w:r w:rsidRPr="00C4330F">
        <w:rPr>
          <w:i/>
          <w:sz w:val="20"/>
        </w:rPr>
        <w:t>Explaining creativity: The science of human innovation</w:t>
      </w:r>
      <w:r w:rsidRPr="00C4330F">
        <w:rPr>
          <w:sz w:val="20"/>
        </w:rPr>
        <w:t xml:space="preserve"> (2nd </w:t>
      </w:r>
      <w:proofErr w:type="gramStart"/>
      <w:r w:rsidRPr="00C4330F">
        <w:rPr>
          <w:sz w:val="20"/>
        </w:rPr>
        <w:t>ed</w:t>
      </w:r>
      <w:proofErr w:type="gramEnd"/>
      <w:r w:rsidRPr="00C4330F">
        <w:rPr>
          <w:sz w:val="20"/>
        </w:rPr>
        <w:t>.). New York: Oxford University Press.</w:t>
      </w:r>
    </w:p>
    <w:p w:rsidR="006B405F" w:rsidRPr="00C4330F" w:rsidRDefault="006B405F" w:rsidP="006B405F">
      <w:pPr>
        <w:ind w:left="720" w:hanging="720"/>
        <w:rPr>
          <w:sz w:val="20"/>
        </w:rPr>
      </w:pPr>
      <w:r w:rsidRPr="00C4330F">
        <w:rPr>
          <w:sz w:val="20"/>
        </w:rPr>
        <w:t xml:space="preserve">Sternberg, R. J. (2003). </w:t>
      </w:r>
      <w:r w:rsidRPr="00C4330F">
        <w:rPr>
          <w:i/>
          <w:iCs/>
          <w:sz w:val="20"/>
        </w:rPr>
        <w:t>Wisdom, intelligence and creativity synthesized</w:t>
      </w:r>
      <w:r w:rsidRPr="00C4330F">
        <w:rPr>
          <w:sz w:val="20"/>
        </w:rPr>
        <w:t>. Cambridge: Cambridge University Press.</w:t>
      </w:r>
    </w:p>
    <w:p w:rsidR="006B405F" w:rsidRPr="00C4330F" w:rsidRDefault="006B405F" w:rsidP="006B405F">
      <w:pPr>
        <w:ind w:left="720" w:hanging="720"/>
        <w:rPr>
          <w:sz w:val="20"/>
        </w:rPr>
      </w:pPr>
      <w:proofErr w:type="gramStart"/>
      <w:r w:rsidRPr="00C4330F">
        <w:rPr>
          <w:sz w:val="20"/>
        </w:rPr>
        <w:t>Sternberg, R. J., Kaufman, J. C, &amp;</w:t>
      </w:r>
      <w:proofErr w:type="spellStart"/>
      <w:r w:rsidRPr="00C4330F">
        <w:rPr>
          <w:sz w:val="20"/>
        </w:rPr>
        <w:t>Grigorenko</w:t>
      </w:r>
      <w:proofErr w:type="spellEnd"/>
      <w:r w:rsidRPr="00C4330F">
        <w:rPr>
          <w:sz w:val="20"/>
        </w:rPr>
        <w:t>, E. L. (2008).</w:t>
      </w:r>
      <w:r w:rsidRPr="00C4330F">
        <w:rPr>
          <w:i/>
          <w:sz w:val="20"/>
        </w:rPr>
        <w:t>Applied intelligence</w:t>
      </w:r>
      <w:r w:rsidRPr="00C4330F">
        <w:rPr>
          <w:sz w:val="20"/>
        </w:rPr>
        <w:t>.</w:t>
      </w:r>
      <w:proofErr w:type="gramEnd"/>
      <w:r w:rsidRPr="00C4330F">
        <w:rPr>
          <w:sz w:val="20"/>
        </w:rPr>
        <w:t xml:space="preserve"> New York: Cambridge University Press.</w:t>
      </w:r>
    </w:p>
    <w:p w:rsidR="006B405F" w:rsidRPr="00C4330F" w:rsidRDefault="006B405F" w:rsidP="006B405F">
      <w:pPr>
        <w:ind w:left="720" w:hanging="720"/>
        <w:rPr>
          <w:sz w:val="20"/>
        </w:rPr>
      </w:pPr>
      <w:proofErr w:type="gramStart"/>
      <w:r w:rsidRPr="00C4330F">
        <w:rPr>
          <w:sz w:val="20"/>
        </w:rPr>
        <w:t xml:space="preserve">Sun, P., Tsai, R. J., Finger, G., Chen, Y. &amp; </w:t>
      </w:r>
      <w:proofErr w:type="spellStart"/>
      <w:r w:rsidRPr="00C4330F">
        <w:rPr>
          <w:sz w:val="20"/>
        </w:rPr>
        <w:t>Yeh</w:t>
      </w:r>
      <w:proofErr w:type="spellEnd"/>
      <w:r w:rsidRPr="00C4330F">
        <w:rPr>
          <w:sz w:val="20"/>
        </w:rPr>
        <w:t>, D. (2008).</w:t>
      </w:r>
      <w:proofErr w:type="gramEnd"/>
      <w:r w:rsidRPr="00C4330F">
        <w:rPr>
          <w:sz w:val="20"/>
        </w:rPr>
        <w:t xml:space="preserve"> What drives a successful e-learning? An empirical investigation of the critical factors influencing learner </w:t>
      </w:r>
      <w:proofErr w:type="spellStart"/>
      <w:r w:rsidRPr="00C4330F">
        <w:rPr>
          <w:sz w:val="20"/>
        </w:rPr>
        <w:t>satisfaction.</w:t>
      </w:r>
      <w:r w:rsidRPr="00C4330F">
        <w:rPr>
          <w:i/>
          <w:iCs/>
          <w:sz w:val="20"/>
        </w:rPr>
        <w:t>Computers</w:t>
      </w:r>
      <w:proofErr w:type="spellEnd"/>
      <w:r w:rsidRPr="00C4330F">
        <w:rPr>
          <w:i/>
          <w:iCs/>
          <w:sz w:val="20"/>
        </w:rPr>
        <w:t xml:space="preserve"> &amp; Education</w:t>
      </w:r>
      <w:r w:rsidRPr="00C4330F">
        <w:rPr>
          <w:i/>
          <w:sz w:val="20"/>
        </w:rPr>
        <w:t>, 50</w:t>
      </w:r>
      <w:r w:rsidRPr="00C4330F">
        <w:rPr>
          <w:sz w:val="20"/>
        </w:rPr>
        <w:t xml:space="preserve">, 1183-1202 Retrieved from </w:t>
      </w:r>
      <w:hyperlink r:id="rId29" w:history="1">
        <w:r w:rsidRPr="00C4330F">
          <w:rPr>
            <w:color w:val="0000FF"/>
            <w:sz w:val="20"/>
            <w:u w:val="single"/>
          </w:rPr>
          <w:t>http://www.sciencedirect.com.ezproxy.apollolibrary.com/science?_ob=ArticleListURL&amp;_method=list&amp;_ArticleListID=2109597272&amp;_sort=r&amp;_st=13&amp;view=c&amp;_acct=C000070620&amp;_version=1&amp;_urlVersion=0&amp;_userid=6814941&amp;md5=dc9dd20e004098a9d670bc3adfad2cbd&amp;searchtype=a</w:t>
        </w:r>
      </w:hyperlink>
    </w:p>
    <w:p w:rsidR="006B405F" w:rsidRPr="00C4330F" w:rsidRDefault="006B405F" w:rsidP="006B405F">
      <w:pPr>
        <w:ind w:left="720" w:hanging="720"/>
        <w:rPr>
          <w:sz w:val="20"/>
        </w:rPr>
      </w:pPr>
      <w:proofErr w:type="gramStart"/>
      <w:r w:rsidRPr="00C4330F">
        <w:rPr>
          <w:sz w:val="20"/>
        </w:rPr>
        <w:t xml:space="preserve">Vance, C., Groves, K. S., </w:t>
      </w:r>
      <w:proofErr w:type="spellStart"/>
      <w:r w:rsidRPr="00C4330F">
        <w:rPr>
          <w:sz w:val="20"/>
        </w:rPr>
        <w:t>Yongsun</w:t>
      </w:r>
      <w:proofErr w:type="spellEnd"/>
      <w:r w:rsidRPr="00C4330F">
        <w:rPr>
          <w:sz w:val="20"/>
        </w:rPr>
        <w:t>, P., &amp; Kindler, H. (2007).</w:t>
      </w:r>
      <w:proofErr w:type="gramEnd"/>
      <w:r w:rsidRPr="00C4330F">
        <w:rPr>
          <w:sz w:val="20"/>
        </w:rPr>
        <w:t xml:space="preserve"> </w:t>
      </w:r>
      <w:proofErr w:type="gramStart"/>
      <w:r w:rsidRPr="00C4330F">
        <w:rPr>
          <w:sz w:val="20"/>
        </w:rPr>
        <w:t xml:space="preserve">Understanding and measuring linear-nonlinear thinking style for enhanced management education and professional </w:t>
      </w:r>
      <w:proofErr w:type="spellStart"/>
      <w:r w:rsidRPr="00C4330F">
        <w:rPr>
          <w:sz w:val="20"/>
        </w:rPr>
        <w:t>practice.</w:t>
      </w:r>
      <w:r w:rsidRPr="00C4330F">
        <w:rPr>
          <w:i/>
          <w:iCs/>
          <w:sz w:val="20"/>
        </w:rPr>
        <w:t>Academy</w:t>
      </w:r>
      <w:proofErr w:type="spellEnd"/>
      <w:r w:rsidRPr="00C4330F">
        <w:rPr>
          <w:i/>
          <w:iCs/>
          <w:sz w:val="20"/>
        </w:rPr>
        <w:t xml:space="preserve"> of Management Learning and Education,</w:t>
      </w:r>
      <w:r w:rsidRPr="00C4330F">
        <w:rPr>
          <w:sz w:val="20"/>
        </w:rPr>
        <w:t xml:space="preserve"> 6(2), 167-185.</w:t>
      </w:r>
      <w:proofErr w:type="gramEnd"/>
      <w:r w:rsidRPr="00C4330F">
        <w:rPr>
          <w:sz w:val="20"/>
        </w:rPr>
        <w:t xml:space="preserve"> doi:10.5465/AMLE.2007.25223457</w:t>
      </w:r>
    </w:p>
    <w:p w:rsidR="006B405F" w:rsidRPr="00C4330F" w:rsidRDefault="006B405F" w:rsidP="006B405F">
      <w:pPr>
        <w:ind w:left="720" w:hanging="720"/>
        <w:rPr>
          <w:sz w:val="20"/>
        </w:rPr>
      </w:pPr>
      <w:proofErr w:type="spellStart"/>
      <w:r w:rsidRPr="00C4330F">
        <w:rPr>
          <w:sz w:val="20"/>
        </w:rPr>
        <w:t>Weisburg</w:t>
      </w:r>
      <w:proofErr w:type="spellEnd"/>
      <w:r w:rsidRPr="00C4330F">
        <w:rPr>
          <w:sz w:val="20"/>
        </w:rPr>
        <w:t xml:space="preserve">, R. W. (2006). </w:t>
      </w:r>
      <w:r w:rsidRPr="00C4330F">
        <w:rPr>
          <w:i/>
          <w:sz w:val="20"/>
        </w:rPr>
        <w:t>Creativity: Understanding innovation in problem solving, science, invention, and the arts</w:t>
      </w:r>
      <w:r w:rsidRPr="00C4330F">
        <w:rPr>
          <w:sz w:val="20"/>
        </w:rPr>
        <w:t>. Hoboken, NJ: John Wiley &amp; Sons.</w:t>
      </w:r>
    </w:p>
    <w:p w:rsidR="006B405F" w:rsidRPr="00C4330F" w:rsidRDefault="006B405F" w:rsidP="006B405F">
      <w:pPr>
        <w:ind w:left="720" w:hanging="720"/>
        <w:rPr>
          <w:sz w:val="20"/>
        </w:rPr>
      </w:pPr>
      <w:proofErr w:type="spellStart"/>
      <w:r w:rsidRPr="00C4330F">
        <w:rPr>
          <w:sz w:val="20"/>
        </w:rPr>
        <w:t>Weisburg</w:t>
      </w:r>
      <w:proofErr w:type="spellEnd"/>
      <w:r w:rsidRPr="00C4330F">
        <w:rPr>
          <w:sz w:val="20"/>
        </w:rPr>
        <w:t xml:space="preserve">, R. (2010). The study of creativity: from genius to cognitive science. </w:t>
      </w:r>
      <w:r w:rsidRPr="00C4330F">
        <w:rPr>
          <w:i/>
          <w:sz w:val="20"/>
        </w:rPr>
        <w:t>International Journal of Cultural Policy, 16</w:t>
      </w:r>
      <w:r w:rsidRPr="00C4330F">
        <w:rPr>
          <w:sz w:val="20"/>
        </w:rPr>
        <w:t>(3), 235-253.</w:t>
      </w:r>
    </w:p>
    <w:p w:rsidR="006B405F" w:rsidRPr="00C4330F" w:rsidRDefault="006B405F" w:rsidP="006B405F">
      <w:pPr>
        <w:ind w:left="720" w:hanging="720"/>
        <w:rPr>
          <w:sz w:val="20"/>
        </w:rPr>
      </w:pPr>
      <w:proofErr w:type="gramStart"/>
      <w:r w:rsidRPr="00C4330F">
        <w:rPr>
          <w:sz w:val="20"/>
        </w:rPr>
        <w:t xml:space="preserve">Zhang, P. &amp; </w:t>
      </w:r>
      <w:proofErr w:type="spellStart"/>
      <w:r w:rsidRPr="00C4330F">
        <w:rPr>
          <w:sz w:val="20"/>
        </w:rPr>
        <w:t>Goel</w:t>
      </w:r>
      <w:proofErr w:type="spellEnd"/>
      <w:r w:rsidRPr="00C4330F">
        <w:rPr>
          <w:sz w:val="20"/>
        </w:rPr>
        <w:t>, L. (2011).</w:t>
      </w:r>
      <w:proofErr w:type="gramEnd"/>
      <w:r w:rsidRPr="00C4330F">
        <w:rPr>
          <w:sz w:val="20"/>
        </w:rPr>
        <w:t xml:space="preserve"> Is E-Learning for Everyone? </w:t>
      </w:r>
      <w:proofErr w:type="gramStart"/>
      <w:r w:rsidRPr="00C4330F">
        <w:rPr>
          <w:sz w:val="20"/>
        </w:rPr>
        <w:t xml:space="preserve">An Internal-External Framework of E-Learning </w:t>
      </w:r>
      <w:proofErr w:type="spellStart"/>
      <w:r w:rsidRPr="00C4330F">
        <w:rPr>
          <w:sz w:val="20"/>
        </w:rPr>
        <w:t>Initiatives.</w:t>
      </w:r>
      <w:r w:rsidRPr="00C4330F">
        <w:rPr>
          <w:i/>
          <w:sz w:val="20"/>
        </w:rPr>
        <w:t>MERLOT</w:t>
      </w:r>
      <w:proofErr w:type="spellEnd"/>
      <w:r w:rsidRPr="00C4330F">
        <w:rPr>
          <w:i/>
          <w:sz w:val="20"/>
        </w:rPr>
        <w:t xml:space="preserve"> Journal of Online Learning and Teaching, 7</w:t>
      </w:r>
      <w:r w:rsidRPr="00C4330F">
        <w:rPr>
          <w:sz w:val="20"/>
        </w:rPr>
        <w:t>(2).</w:t>
      </w:r>
      <w:proofErr w:type="gramEnd"/>
      <w:r w:rsidRPr="00C4330F">
        <w:rPr>
          <w:sz w:val="20"/>
        </w:rPr>
        <w:t xml:space="preserve"> Retrieved </w:t>
      </w:r>
      <w:hyperlink r:id="rId30" w:history="1">
        <w:r w:rsidRPr="00C4330F">
          <w:rPr>
            <w:color w:val="0000FF"/>
            <w:sz w:val="20"/>
            <w:u w:val="single"/>
          </w:rPr>
          <w:t>http://jolt.merlot.org/vol7no2/goel_0611.htm</w:t>
        </w:r>
      </w:hyperlink>
    </w:p>
    <w:p w:rsidR="006B405F" w:rsidRPr="00C4330F" w:rsidRDefault="006B405F" w:rsidP="006B405F">
      <w:pPr>
        <w:ind w:left="720" w:hanging="720"/>
        <w:rPr>
          <w:sz w:val="20"/>
        </w:rPr>
      </w:pPr>
      <w:proofErr w:type="spellStart"/>
      <w:r w:rsidRPr="00C4330F">
        <w:rPr>
          <w:sz w:val="20"/>
        </w:rPr>
        <w:t>Zorana</w:t>
      </w:r>
      <w:proofErr w:type="spellEnd"/>
      <w:r w:rsidRPr="00C4330F">
        <w:rPr>
          <w:sz w:val="20"/>
        </w:rPr>
        <w:t xml:space="preserve">, I. (2009). Creativity map: Toward the next generation of theories of creativity. </w:t>
      </w:r>
      <w:r w:rsidRPr="00C4330F">
        <w:rPr>
          <w:i/>
          <w:sz w:val="20"/>
        </w:rPr>
        <w:t>Psychology of Aesthetics, Creativity, and the Arts, 3</w:t>
      </w:r>
      <w:r w:rsidRPr="00C4330F">
        <w:rPr>
          <w:sz w:val="20"/>
        </w:rPr>
        <w:t>(1), 17-21.</w:t>
      </w:r>
    </w:p>
    <w:p w:rsidR="006B405F" w:rsidRDefault="006B405F" w:rsidP="006B405F">
      <w:pPr>
        <w:pStyle w:val="Heading3"/>
      </w:pPr>
      <w:r>
        <w:t xml:space="preserve">About the </w:t>
      </w:r>
      <w:r w:rsidRPr="001C091B">
        <w:t>Authors</w:t>
      </w:r>
    </w:p>
    <w:tbl>
      <w:tblPr>
        <w:tblStyle w:val="TableGrid"/>
        <w:tblW w:w="0" w:type="auto"/>
        <w:tblLayout w:type="fixed"/>
        <w:tblLook w:val="04A0" w:firstRow="1" w:lastRow="0" w:firstColumn="1" w:lastColumn="0" w:noHBand="0" w:noVBand="1"/>
      </w:tblPr>
      <w:tblGrid>
        <w:gridCol w:w="1908"/>
        <w:gridCol w:w="6948"/>
      </w:tblGrid>
      <w:tr w:rsidR="006B405F" w:rsidTr="006B405F">
        <w:tc>
          <w:tcPr>
            <w:tcW w:w="1908" w:type="dxa"/>
          </w:tcPr>
          <w:p w:rsidR="006B405F" w:rsidRDefault="006B405F" w:rsidP="006B405F">
            <w:pPr>
              <w:rPr>
                <w:rFonts w:ascii="Arial" w:hAnsi="Arial" w:cs="Arial"/>
                <w:b/>
                <w:sz w:val="24"/>
                <w:szCs w:val="24"/>
              </w:rPr>
            </w:pPr>
            <w:r>
              <w:rPr>
                <w:rFonts w:ascii="Italic" w:hAnsi="Italic" w:cs="AvantGardeITCbyBT-Book,Italic"/>
                <w:b/>
                <w:i/>
                <w:noProof/>
                <w:sz w:val="16"/>
                <w:szCs w:val="16"/>
              </w:rPr>
              <w:drawing>
                <wp:inline distT="0" distB="0" distL="0" distR="0" wp14:anchorId="6F526EE6" wp14:editId="48756511">
                  <wp:extent cx="1101725" cy="1153795"/>
                  <wp:effectExtent l="0" t="0" r="3175" b="8255"/>
                  <wp:docPr id="13" name="Picture 1" descr="C:\Users\brent\New Folder1\Brent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t\New Folder1\Brent Book.jpg"/>
                          <pic:cNvPicPr>
                            <a:picLocks noChangeAspect="1" noChangeArrowheads="1"/>
                          </pic:cNvPicPr>
                        </pic:nvPicPr>
                        <pic:blipFill>
                          <a:blip r:embed="rId31" cstate="print">
                            <a:extLst>
                              <a:ext uri="{28A0092B-C50C-407E-A947-70E740481C1C}">
                                <a14:useLocalDpi xmlns:a14="http://schemas.microsoft.com/office/drawing/2010/main" val="0"/>
                              </a:ext>
                            </a:extLst>
                          </a:blip>
                          <a:srcRect t="6856" b="19400"/>
                          <a:stretch>
                            <a:fillRect/>
                          </a:stretch>
                        </pic:blipFill>
                        <pic:spPr bwMode="auto">
                          <a:xfrm>
                            <a:off x="0" y="0"/>
                            <a:ext cx="1101725" cy="1153795"/>
                          </a:xfrm>
                          <a:prstGeom prst="rect">
                            <a:avLst/>
                          </a:prstGeom>
                          <a:noFill/>
                          <a:ln>
                            <a:noFill/>
                          </a:ln>
                        </pic:spPr>
                      </pic:pic>
                    </a:graphicData>
                  </a:graphic>
                </wp:inline>
              </w:drawing>
            </w:r>
          </w:p>
        </w:tc>
        <w:tc>
          <w:tcPr>
            <w:tcW w:w="6948" w:type="dxa"/>
          </w:tcPr>
          <w:p w:rsidR="006B405F" w:rsidRPr="006B405F" w:rsidRDefault="006B405F" w:rsidP="006B405F">
            <w:pPr>
              <w:rPr>
                <w:sz w:val="20"/>
                <w:szCs w:val="20"/>
              </w:rPr>
            </w:pPr>
            <w:r w:rsidRPr="005C5D5F">
              <w:rPr>
                <w:rFonts w:ascii="Arial" w:hAnsi="Arial" w:cs="Arial"/>
                <w:b/>
                <w:bCs/>
                <w:sz w:val="24"/>
                <w:szCs w:val="24"/>
              </w:rPr>
              <w:t xml:space="preserve">Brent </w:t>
            </w:r>
            <w:proofErr w:type="spellStart"/>
            <w:r w:rsidRPr="005C5D5F">
              <w:rPr>
                <w:rFonts w:ascii="Arial" w:hAnsi="Arial" w:cs="Arial"/>
                <w:b/>
                <w:bCs/>
                <w:sz w:val="24"/>
                <w:szCs w:val="24"/>
              </w:rPr>
              <w:t>Muirhead</w:t>
            </w:r>
            <w:proofErr w:type="spellEnd"/>
            <w:r w:rsidRPr="005C5D5F">
              <w:rPr>
                <w:rFonts w:ascii="Arial" w:hAnsi="Arial" w:cs="Arial"/>
                <w:bCs/>
                <w:sz w:val="24"/>
                <w:szCs w:val="24"/>
              </w:rPr>
              <w:t xml:space="preserve"> </w:t>
            </w:r>
            <w:r w:rsidRPr="005C5D5F">
              <w:rPr>
                <w:rFonts w:ascii="Arial" w:hAnsi="Arial" w:cs="Arial"/>
                <w:b/>
                <w:bCs/>
                <w:sz w:val="24"/>
                <w:szCs w:val="24"/>
              </w:rPr>
              <w:t>Ph.D</w:t>
            </w:r>
            <w:r w:rsidRPr="005C5D5F">
              <w:rPr>
                <w:rFonts w:ascii="Arial" w:hAnsi="Arial" w:cs="Arial"/>
                <w:bCs/>
                <w:sz w:val="24"/>
                <w:szCs w:val="24"/>
              </w:rPr>
              <w:t>.</w:t>
            </w:r>
            <w:r w:rsidRPr="00356489">
              <w:rPr>
                <w:bCs/>
              </w:rPr>
              <w:t xml:space="preserve"> </w:t>
            </w:r>
            <w:r w:rsidRPr="006B405F">
              <w:rPr>
                <w:sz w:val="20"/>
                <w:szCs w:val="20"/>
              </w:rPr>
              <w:t xml:space="preserve">is an educator and writer with numerous publications in educational technology. Dr. </w:t>
            </w:r>
            <w:proofErr w:type="spellStart"/>
            <w:r w:rsidRPr="006B405F">
              <w:rPr>
                <w:sz w:val="20"/>
                <w:szCs w:val="20"/>
              </w:rPr>
              <w:t>Muirhead</w:t>
            </w:r>
            <w:proofErr w:type="spellEnd"/>
            <w:r w:rsidRPr="006B405F">
              <w:rPr>
                <w:sz w:val="20"/>
                <w:szCs w:val="20"/>
              </w:rPr>
              <w:t xml:space="preserve"> has a BA in social work, master's degrees in religious education, history, administration, e-learning, computing in education/cognitive psychology and two doctoral degrees in education. The latest graduate degree is from Columbia University, New York City. He has been a faculty member for the University of Phoenix since 2001 and is an instructor for their classes in their Atlanta, Georgia campuses and online. He leads workshops on journal publishing, literature reviews, supervises student teachers and works as a dissertation chair. He is an Associate Editor for Educational Technology and Society and Senior Online Editor of International Journal of Instructional Technology &amp; Distance Learning. Recent book </w:t>
            </w:r>
            <w:r w:rsidRPr="006B405F">
              <w:rPr>
                <w:i/>
                <w:sz w:val="20"/>
                <w:szCs w:val="20"/>
              </w:rPr>
              <w:t>Wisdom: Making good choices with imperfect knowledge</w:t>
            </w:r>
            <w:r w:rsidRPr="006B405F">
              <w:rPr>
                <w:sz w:val="20"/>
                <w:szCs w:val="20"/>
              </w:rPr>
              <w:t>.</w:t>
            </w:r>
          </w:p>
          <w:p w:rsidR="006B405F" w:rsidRPr="00D77DBC" w:rsidRDefault="006B405F" w:rsidP="006B405F">
            <w:r w:rsidRPr="0080799D">
              <w:t xml:space="preserve">Email: </w:t>
            </w:r>
            <w:hyperlink r:id="rId32" w:history="1">
              <w:r w:rsidRPr="0080799D">
                <w:rPr>
                  <w:color w:val="0000FF"/>
                </w:rPr>
                <w:t>brent.muirhead1@gmail.com</w:t>
              </w:r>
            </w:hyperlink>
          </w:p>
        </w:tc>
      </w:tr>
      <w:tr w:rsidR="006B405F" w:rsidTr="006B405F">
        <w:tc>
          <w:tcPr>
            <w:tcW w:w="1908" w:type="dxa"/>
          </w:tcPr>
          <w:p w:rsidR="006B405F" w:rsidRDefault="006B405F" w:rsidP="006B405F">
            <w:pPr>
              <w:rPr>
                <w:rFonts w:ascii="Arial" w:hAnsi="Arial" w:cs="Arial"/>
                <w:b/>
                <w:sz w:val="24"/>
                <w:szCs w:val="24"/>
              </w:rPr>
            </w:pPr>
            <w:r>
              <w:rPr>
                <w:b/>
                <w:i/>
                <w:noProof/>
              </w:rPr>
              <w:drawing>
                <wp:inline distT="0" distB="0" distL="0" distR="0" wp14:anchorId="5AB30C39" wp14:editId="21E8D8C0">
                  <wp:extent cx="1110615" cy="831850"/>
                  <wp:effectExtent l="0" t="0" r="0" b="6350"/>
                  <wp:docPr id="15" name="Picture 1" descr="C:\Users\JD\Desktop\Universities 2011\Personal Phot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Desktop\Universities 2011\Personal Photo.bmp"/>
                          <pic:cNvPicPr>
                            <a:picLocks noChangeAspect="1" noChangeArrowheads="1"/>
                          </pic:cNvPicPr>
                        </pic:nvPicPr>
                        <pic:blipFill>
                          <a:blip r:embed="rId33">
                            <a:lum bright="20000" contrast="40000"/>
                            <a:extLst>
                              <a:ext uri="{28A0092B-C50C-407E-A947-70E740481C1C}">
                                <a14:useLocalDpi xmlns:a14="http://schemas.microsoft.com/office/drawing/2010/main" val="0"/>
                              </a:ext>
                            </a:extLst>
                          </a:blip>
                          <a:srcRect/>
                          <a:stretch>
                            <a:fillRect/>
                          </a:stretch>
                        </pic:blipFill>
                        <pic:spPr bwMode="auto">
                          <a:xfrm>
                            <a:off x="0" y="0"/>
                            <a:ext cx="1110615" cy="831850"/>
                          </a:xfrm>
                          <a:prstGeom prst="rect">
                            <a:avLst/>
                          </a:prstGeom>
                          <a:noFill/>
                          <a:ln>
                            <a:noFill/>
                          </a:ln>
                        </pic:spPr>
                      </pic:pic>
                    </a:graphicData>
                  </a:graphic>
                </wp:inline>
              </w:drawing>
            </w:r>
          </w:p>
        </w:tc>
        <w:tc>
          <w:tcPr>
            <w:tcW w:w="6948" w:type="dxa"/>
          </w:tcPr>
          <w:p w:rsidR="006B405F" w:rsidRPr="006B405F" w:rsidRDefault="006B405F" w:rsidP="006B405F">
            <w:pPr>
              <w:rPr>
                <w:sz w:val="20"/>
                <w:szCs w:val="20"/>
              </w:rPr>
            </w:pPr>
            <w:r w:rsidRPr="005C5D5F">
              <w:rPr>
                <w:rFonts w:ascii="Arial" w:hAnsi="Arial" w:cs="Arial"/>
                <w:b/>
                <w:i/>
                <w:sz w:val="24"/>
                <w:szCs w:val="24"/>
              </w:rPr>
              <w:t xml:space="preserve">John </w:t>
            </w:r>
            <w:proofErr w:type="spellStart"/>
            <w:r w:rsidRPr="005C5D5F">
              <w:rPr>
                <w:rFonts w:ascii="Arial" w:hAnsi="Arial" w:cs="Arial"/>
                <w:b/>
                <w:i/>
                <w:sz w:val="24"/>
                <w:szCs w:val="24"/>
              </w:rPr>
              <w:t>DeNigris</w:t>
            </w:r>
            <w:proofErr w:type="spellEnd"/>
            <w:r w:rsidRPr="005C5D5F">
              <w:rPr>
                <w:rFonts w:ascii="Arial" w:hAnsi="Arial" w:cs="Arial"/>
                <w:b/>
                <w:i/>
                <w:sz w:val="24"/>
                <w:szCs w:val="24"/>
              </w:rPr>
              <w:t>, MBA, PHD.</w:t>
            </w:r>
            <w:r w:rsidRPr="00BB6FFB">
              <w:rPr>
                <w:b/>
                <w:i/>
              </w:rPr>
              <w:t xml:space="preserve"> </w:t>
            </w:r>
            <w:r w:rsidRPr="00BB6FFB">
              <w:rPr>
                <w:i/>
              </w:rPr>
              <w:t xml:space="preserve">  </w:t>
            </w:r>
            <w:r w:rsidRPr="006B405F">
              <w:rPr>
                <w:sz w:val="20"/>
                <w:szCs w:val="20"/>
              </w:rPr>
              <w:t xml:space="preserve">As a former Sr. Vice President of CBS Records and Video, Dr. </w:t>
            </w:r>
            <w:proofErr w:type="spellStart"/>
            <w:r w:rsidRPr="006B405F">
              <w:rPr>
                <w:sz w:val="20"/>
                <w:szCs w:val="20"/>
              </w:rPr>
              <w:t>DeNigris</w:t>
            </w:r>
            <w:proofErr w:type="spellEnd"/>
            <w:r w:rsidRPr="006B405F">
              <w:rPr>
                <w:sz w:val="20"/>
                <w:szCs w:val="20"/>
              </w:rPr>
              <w:t xml:space="preserve"> has over 29 </w:t>
            </w:r>
            <w:proofErr w:type="spellStart"/>
            <w:r w:rsidRPr="006B405F">
              <w:rPr>
                <w:sz w:val="20"/>
                <w:szCs w:val="20"/>
              </w:rPr>
              <w:t>years experience</w:t>
            </w:r>
            <w:proofErr w:type="spellEnd"/>
            <w:r w:rsidRPr="006B405F">
              <w:rPr>
                <w:sz w:val="20"/>
                <w:szCs w:val="20"/>
              </w:rPr>
              <w:t xml:space="preserve"> in finance, management and marketing within Fortune 500 companies and has been conferred with over two dozen nation awards for his contributions to discipline of management, marketing, leadership and corporate online learning and training. </w:t>
            </w:r>
          </w:p>
          <w:p w:rsidR="006B405F" w:rsidRPr="006B405F" w:rsidRDefault="006B405F" w:rsidP="006B405F">
            <w:pPr>
              <w:rPr>
                <w:sz w:val="20"/>
                <w:szCs w:val="20"/>
              </w:rPr>
            </w:pPr>
            <w:r w:rsidRPr="006B405F">
              <w:rPr>
                <w:sz w:val="20"/>
                <w:szCs w:val="20"/>
              </w:rPr>
              <w:t xml:space="preserve">Dr. </w:t>
            </w:r>
            <w:proofErr w:type="spellStart"/>
            <w:r w:rsidRPr="006B405F">
              <w:rPr>
                <w:sz w:val="20"/>
                <w:szCs w:val="20"/>
              </w:rPr>
              <w:t>DeNigris</w:t>
            </w:r>
            <w:proofErr w:type="spellEnd"/>
            <w:r w:rsidRPr="006B405F">
              <w:rPr>
                <w:sz w:val="20"/>
                <w:szCs w:val="20"/>
              </w:rPr>
              <w:t xml:space="preserve"> has been a faculty member with the University of Phoenix since 1997 and a member of the School of Advanced Studies Global Council since its inception in 2004. During his 14 year tenure with SAS, he has also held the positions of Faculty Trainer, Curriculum Developer, Subject Matter Expert, Dissertation Mentor, and Journal of Leadership Studies Advisory Board member and currently, an Area Chair for the SAS-DBA program. Dr. </w:t>
            </w:r>
            <w:proofErr w:type="spellStart"/>
            <w:r w:rsidRPr="006B405F">
              <w:rPr>
                <w:sz w:val="20"/>
                <w:szCs w:val="20"/>
              </w:rPr>
              <w:t>DeNigris</w:t>
            </w:r>
            <w:proofErr w:type="spellEnd"/>
            <w:r w:rsidRPr="006B405F">
              <w:rPr>
                <w:sz w:val="20"/>
                <w:szCs w:val="20"/>
              </w:rPr>
              <w:t xml:space="preserve"> has been honored with three Faculties of the Year awards from multiple Universities in which he was formally engaged. He has an MBA and a Ph.D. in Management with concentration in Organizational Development and is a member of Delta Mu Delta International Honor Society in Business Administration.</w:t>
            </w:r>
          </w:p>
          <w:p w:rsidR="006B405F" w:rsidRPr="00D77DBC" w:rsidRDefault="006B405F" w:rsidP="006B405F">
            <w:pPr>
              <w:rPr>
                <w:szCs w:val="20"/>
              </w:rPr>
            </w:pPr>
            <w:r w:rsidRPr="00BB6FFB">
              <w:t xml:space="preserve">E-mail: </w:t>
            </w:r>
            <w:hyperlink r:id="rId34" w:history="1">
              <w:r w:rsidRPr="00D77DBC">
                <w:rPr>
                  <w:color w:val="0000FF"/>
                  <w:szCs w:val="20"/>
                </w:rPr>
                <w:t>denigris@email.phoenix.edu</w:t>
              </w:r>
            </w:hyperlink>
          </w:p>
        </w:tc>
      </w:tr>
      <w:tr w:rsidR="006B405F" w:rsidTr="006B405F">
        <w:tc>
          <w:tcPr>
            <w:tcW w:w="1908" w:type="dxa"/>
          </w:tcPr>
          <w:p w:rsidR="006B405F" w:rsidRDefault="006B405F" w:rsidP="006B405F">
            <w:pPr>
              <w:rPr>
                <w:rFonts w:ascii="Arial" w:hAnsi="Arial" w:cs="Arial"/>
                <w:b/>
                <w:sz w:val="24"/>
                <w:szCs w:val="24"/>
              </w:rPr>
            </w:pPr>
            <w:r>
              <w:rPr>
                <w:noProof/>
              </w:rPr>
              <w:drawing>
                <wp:inline distT="0" distB="0" distL="0" distR="0" wp14:anchorId="7CD002C1" wp14:editId="5306B17B">
                  <wp:extent cx="1114425" cy="1519555"/>
                  <wp:effectExtent l="0" t="0" r="9525" b="4445"/>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lum contrast="40000"/>
                            <a:extLst>
                              <a:ext uri="{28A0092B-C50C-407E-A947-70E740481C1C}">
                                <a14:useLocalDpi xmlns:a14="http://schemas.microsoft.com/office/drawing/2010/main" val="0"/>
                              </a:ext>
                            </a:extLst>
                          </a:blip>
                          <a:srcRect l="12262" t="16991" r="18947" b="10301"/>
                          <a:stretch>
                            <a:fillRect/>
                          </a:stretch>
                        </pic:blipFill>
                        <pic:spPr bwMode="auto">
                          <a:xfrm>
                            <a:off x="0" y="0"/>
                            <a:ext cx="1114425" cy="1519555"/>
                          </a:xfrm>
                          <a:prstGeom prst="rect">
                            <a:avLst/>
                          </a:prstGeom>
                          <a:noFill/>
                          <a:ln>
                            <a:noFill/>
                          </a:ln>
                        </pic:spPr>
                      </pic:pic>
                    </a:graphicData>
                  </a:graphic>
                </wp:inline>
              </w:drawing>
            </w:r>
          </w:p>
        </w:tc>
        <w:tc>
          <w:tcPr>
            <w:tcW w:w="6948" w:type="dxa"/>
          </w:tcPr>
          <w:p w:rsidR="006B405F" w:rsidRPr="006B405F" w:rsidRDefault="006B405F" w:rsidP="006B405F">
            <w:pPr>
              <w:rPr>
                <w:sz w:val="20"/>
                <w:szCs w:val="20"/>
              </w:rPr>
            </w:pPr>
            <w:r w:rsidRPr="005C5D5F">
              <w:rPr>
                <w:rFonts w:ascii="Arial" w:hAnsi="Arial" w:cs="Arial"/>
                <w:b/>
                <w:sz w:val="24"/>
                <w:szCs w:val="24"/>
              </w:rPr>
              <w:t>Jean R. Perlman</w:t>
            </w:r>
            <w:r w:rsidRPr="005C5D5F">
              <w:rPr>
                <w:rFonts w:ascii="Arial" w:hAnsi="Arial" w:cs="Arial"/>
                <w:sz w:val="24"/>
                <w:szCs w:val="24"/>
              </w:rPr>
              <w:t xml:space="preserve">, </w:t>
            </w:r>
            <w:r w:rsidRPr="005C5D5F">
              <w:rPr>
                <w:rFonts w:ascii="Arial" w:hAnsi="Arial" w:cs="Arial"/>
                <w:b/>
                <w:sz w:val="24"/>
                <w:szCs w:val="24"/>
              </w:rPr>
              <w:t>DBA, BS/MIS, MBA, JD</w:t>
            </w:r>
            <w:r w:rsidRPr="00D85846">
              <w:t xml:space="preserve"> </w:t>
            </w:r>
            <w:r w:rsidRPr="006B405F">
              <w:rPr>
                <w:sz w:val="20"/>
                <w:szCs w:val="20"/>
              </w:rPr>
              <w:t xml:space="preserve">is a Strategist, Speaker, and Educator with 25 years’ experience delivering action results to executive teams. Specializing in mission targeting and organization productivity, Dr. Perlman has worked with small and large companies; where her strategies resulted in 50% increased team productivity, multimillion-dollar milestone achievement, and 100% profit-center launch success; industry leader standing; increased markets and profits over 150%.  Dr. Perlman has been a University of Phoenix faculty member since 2002. Her honors include Outstanding Teacher Award; American </w:t>
            </w:r>
            <w:proofErr w:type="spellStart"/>
            <w:r w:rsidRPr="006B405F">
              <w:rPr>
                <w:sz w:val="20"/>
                <w:szCs w:val="20"/>
              </w:rPr>
              <w:t>Juris</w:t>
            </w:r>
            <w:proofErr w:type="spellEnd"/>
            <w:r w:rsidRPr="006B405F">
              <w:rPr>
                <w:sz w:val="20"/>
                <w:szCs w:val="20"/>
              </w:rPr>
              <w:t xml:space="preserve"> Prudence Award (Business Counseling); and keynote speaker for chamber of </w:t>
            </w:r>
            <w:proofErr w:type="spellStart"/>
            <w:r w:rsidRPr="006B405F">
              <w:rPr>
                <w:sz w:val="20"/>
                <w:szCs w:val="20"/>
              </w:rPr>
              <w:t>commerces</w:t>
            </w:r>
            <w:proofErr w:type="spellEnd"/>
            <w:r w:rsidRPr="006B405F">
              <w:rPr>
                <w:sz w:val="20"/>
                <w:szCs w:val="20"/>
              </w:rPr>
              <w:t xml:space="preserve"> and the US SBA.  </w:t>
            </w:r>
          </w:p>
          <w:p w:rsidR="006B405F" w:rsidRDefault="006B405F" w:rsidP="006B405F">
            <w:pPr>
              <w:rPr>
                <w:rFonts w:ascii="Arial" w:hAnsi="Arial" w:cs="Arial"/>
                <w:b/>
                <w:sz w:val="24"/>
                <w:szCs w:val="24"/>
              </w:rPr>
            </w:pPr>
            <w:r w:rsidRPr="00D85846">
              <w:t xml:space="preserve">Email: </w:t>
            </w:r>
            <w:hyperlink r:id="rId36" w:history="1">
              <w:r w:rsidRPr="00D77DBC">
                <w:rPr>
                  <w:color w:val="0000FF"/>
                </w:rPr>
                <w:t>jrperlman@bizdirections.com</w:t>
              </w:r>
            </w:hyperlink>
          </w:p>
        </w:tc>
      </w:tr>
    </w:tbl>
    <w:p w:rsidR="006B405F" w:rsidRDefault="006B405F" w:rsidP="006B405F">
      <w:pPr>
        <w:spacing w:before="0" w:after="0"/>
        <w:rPr>
          <w:rFonts w:ascii="Arial" w:hAnsi="Arial" w:cs="Arial"/>
          <w:sz w:val="8"/>
          <w:szCs w:val="8"/>
        </w:rPr>
      </w:pPr>
    </w:p>
    <w:p w:rsidR="006B405F" w:rsidRDefault="006B405F" w:rsidP="006B405F">
      <w:pPr>
        <w:spacing w:before="0" w:after="0"/>
        <w:rPr>
          <w:rFonts w:ascii="Arial" w:hAnsi="Arial" w:cs="Arial"/>
          <w:sz w:val="8"/>
          <w:szCs w:val="8"/>
        </w:rPr>
      </w:pPr>
    </w:p>
    <w:p w:rsidR="006B405F" w:rsidRDefault="006B405F" w:rsidP="006B405F">
      <w:pPr>
        <w:spacing w:before="0" w:after="0"/>
        <w:rPr>
          <w:rFonts w:ascii="Arial" w:hAnsi="Arial" w:cs="Arial"/>
          <w:sz w:val="8"/>
          <w:szCs w:val="8"/>
        </w:rPr>
      </w:pPr>
    </w:p>
    <w:p w:rsidR="006B405F" w:rsidRPr="00707B8C" w:rsidRDefault="006B405F" w:rsidP="006B405F">
      <w:pPr>
        <w:spacing w:after="0"/>
        <w:rPr>
          <w:rFonts w:ascii="Arial" w:hAnsi="Arial" w:cs="Arial"/>
          <w:sz w:val="18"/>
          <w:szCs w:val="18"/>
        </w:rPr>
      </w:pPr>
      <w:r w:rsidRPr="0058321C">
        <w:rPr>
          <w:rFonts w:ascii="Arial" w:hAnsi="Arial" w:cs="Arial"/>
          <w:b/>
          <w:sz w:val="24"/>
          <w:szCs w:val="24"/>
        </w:rPr>
        <w:t>Citation</w:t>
      </w:r>
      <w:r>
        <w:rPr>
          <w:rFonts w:ascii="Arial" w:hAnsi="Arial" w:cs="Arial"/>
          <w:sz w:val="24"/>
          <w:szCs w:val="24"/>
        </w:rPr>
        <w:t xml:space="preserve">: </w:t>
      </w:r>
      <w:proofErr w:type="spellStart"/>
      <w:r w:rsidRPr="00707B8C">
        <w:rPr>
          <w:rFonts w:ascii="Arial" w:hAnsi="Arial" w:cs="Arial"/>
          <w:sz w:val="18"/>
          <w:szCs w:val="18"/>
        </w:rPr>
        <w:t>Muirhead</w:t>
      </w:r>
      <w:proofErr w:type="spellEnd"/>
      <w:r w:rsidRPr="00707B8C">
        <w:rPr>
          <w:rFonts w:ascii="Arial" w:hAnsi="Arial" w:cs="Arial"/>
          <w:sz w:val="18"/>
          <w:szCs w:val="18"/>
        </w:rPr>
        <w:t xml:space="preserve">, B., </w:t>
      </w:r>
      <w:proofErr w:type="spellStart"/>
      <w:r w:rsidRPr="00707B8C">
        <w:rPr>
          <w:rFonts w:ascii="Arial" w:hAnsi="Arial" w:cs="Arial"/>
          <w:sz w:val="18"/>
          <w:szCs w:val="18"/>
        </w:rPr>
        <w:t>DeNigris</w:t>
      </w:r>
      <w:proofErr w:type="spellEnd"/>
      <w:r w:rsidRPr="00707B8C">
        <w:rPr>
          <w:rFonts w:ascii="Arial" w:hAnsi="Arial" w:cs="Arial"/>
          <w:sz w:val="18"/>
          <w:szCs w:val="18"/>
        </w:rPr>
        <w:t>, J. &amp; Perlman, J. (2012). The Web-Based Creativity Model</w:t>
      </w:r>
      <w:r w:rsidRPr="00707B8C">
        <w:rPr>
          <w:rFonts w:ascii="Arial" w:hAnsi="Arial" w:cs="Arial"/>
          <w:sz w:val="18"/>
          <w:szCs w:val="18"/>
          <w:vertAlign w:val="superscript"/>
        </w:rPr>
        <w:t>©</w:t>
      </w:r>
      <w:r w:rsidRPr="00707B8C">
        <w:rPr>
          <w:rFonts w:ascii="Arial" w:hAnsi="Arial" w:cs="Arial"/>
          <w:sz w:val="18"/>
          <w:szCs w:val="18"/>
        </w:rPr>
        <w:t xml:space="preserve">: A New Approach for Creativity Integration to Achieve Industry and Learning-Organization Competencies in Online Graduate Classes. </w:t>
      </w:r>
      <w:proofErr w:type="gramStart"/>
      <w:r w:rsidRPr="00707B8C">
        <w:rPr>
          <w:rFonts w:ascii="Arial" w:hAnsi="Arial" w:cs="Arial"/>
          <w:i/>
          <w:sz w:val="18"/>
          <w:szCs w:val="18"/>
        </w:rPr>
        <w:t>International Journal of Instructional Technology and Distance Learning</w:t>
      </w:r>
      <w:r w:rsidRPr="00707B8C">
        <w:rPr>
          <w:rFonts w:ascii="Arial" w:hAnsi="Arial" w:cs="Arial"/>
          <w:sz w:val="18"/>
          <w:szCs w:val="18"/>
        </w:rPr>
        <w:t>.</w:t>
      </w:r>
      <w:proofErr w:type="gramEnd"/>
    </w:p>
    <w:p w:rsidR="00E74431" w:rsidRDefault="00E74431">
      <w:pPr>
        <w:spacing w:before="0" w:after="0"/>
        <w:rPr>
          <w:b/>
        </w:rPr>
      </w:pPr>
    </w:p>
    <w:p w:rsidR="00E74431" w:rsidRDefault="00E74431">
      <w:pPr>
        <w:spacing w:before="0" w:after="0"/>
        <w:rPr>
          <w:b/>
        </w:rPr>
      </w:pPr>
    </w:p>
    <w:p w:rsidR="00E74431" w:rsidRDefault="00E74431">
      <w:pPr>
        <w:spacing w:before="0" w:after="0"/>
        <w:rPr>
          <w:b/>
        </w:rPr>
      </w:pPr>
    </w:p>
    <w:p w:rsidR="006B405F" w:rsidRDefault="005E5BDD">
      <w:pPr>
        <w:spacing w:before="0" w:after="0"/>
        <w:rPr>
          <w:rFonts w:ascii="Arial" w:hAnsi="Arial" w:cs="Arial"/>
          <w:b/>
          <w:color w:val="000000"/>
          <w:sz w:val="18"/>
          <w:szCs w:val="18"/>
          <w:lang w:eastAsia="zh-CN"/>
        </w:rPr>
      </w:pPr>
      <w:hyperlink w:anchor="TOC" w:history="1">
        <w:r w:rsidR="00E74431" w:rsidRPr="00E74431">
          <w:rPr>
            <w:rStyle w:val="Hyperlink"/>
            <w:sz w:val="16"/>
            <w:szCs w:val="16"/>
          </w:rPr>
          <w:t>Return to Table of Contents</w:t>
        </w:r>
      </w:hyperlink>
      <w:r w:rsidR="006B405F">
        <w:rPr>
          <w:b/>
        </w:rPr>
        <w:br w:type="page"/>
      </w:r>
    </w:p>
    <w:p w:rsidR="00AC7A0C" w:rsidRDefault="00AC7A0C" w:rsidP="00AC7A0C">
      <w:pPr>
        <w:pStyle w:val="Note"/>
      </w:pPr>
      <w:r w:rsidRPr="00444EE9">
        <w:rPr>
          <w:b/>
        </w:rPr>
        <w:t>Editor’s Note</w:t>
      </w:r>
      <w:r>
        <w:t xml:space="preserve">: </w:t>
      </w:r>
      <w:r w:rsidR="00225890">
        <w:t xml:space="preserve">Innovation and creativity are associated with higher levels of learning in </w:t>
      </w:r>
      <w:r w:rsidR="00C90236">
        <w:t xml:space="preserve">the Cognitive Domain of </w:t>
      </w:r>
      <w:r w:rsidR="00225890">
        <w:t>Bloom’s Taxonomy</w:t>
      </w:r>
      <w:proofErr w:type="gramStart"/>
      <w:r w:rsidR="00225890">
        <w:t>,.</w:t>
      </w:r>
      <w:proofErr w:type="gramEnd"/>
      <w:r w:rsidR="00C90236">
        <w:t xml:space="preserve"> These skills include analysis, synthesis, problem solving</w:t>
      </w:r>
      <w:r w:rsidR="00FD750B">
        <w:t>, exploration,</w:t>
      </w:r>
      <w:r w:rsidR="00C90236">
        <w:t xml:space="preserve"> invention, design, construction, evaluation, and related skills. Ingenious instructors can add vitality to their courses by moving beyond knowledge, conceptualization and application to tasks that inspire creativity in the search for knowledge and the interpretation of events.</w:t>
      </w:r>
    </w:p>
    <w:p w:rsidR="00AC7A0C" w:rsidRDefault="00AC7A0C" w:rsidP="00AC7A0C">
      <w:pPr>
        <w:pStyle w:val="Note"/>
      </w:pPr>
    </w:p>
    <w:p w:rsidR="00AC7A0C" w:rsidRPr="00444EE9" w:rsidRDefault="00AC7A0C" w:rsidP="00AC7A0C">
      <w:pPr>
        <w:pStyle w:val="Heading1"/>
        <w:rPr>
          <w:sz w:val="28"/>
          <w:szCs w:val="28"/>
        </w:rPr>
      </w:pPr>
      <w:bookmarkStart w:id="7" w:name="_Combining_Creativity_and"/>
      <w:bookmarkEnd w:id="7"/>
      <w:r w:rsidRPr="00D75413">
        <w:t xml:space="preserve">Combining Creativity and Civilization: </w:t>
      </w:r>
      <w:r>
        <w:br/>
      </w:r>
      <w:r w:rsidRPr="00444EE9">
        <w:rPr>
          <w:sz w:val="28"/>
          <w:szCs w:val="28"/>
        </w:rPr>
        <w:t>A Natural Experiment in a General Education University Course</w:t>
      </w:r>
    </w:p>
    <w:p w:rsidR="00AC7A0C" w:rsidRDefault="00AC7A0C" w:rsidP="00AC7A0C">
      <w:pPr>
        <w:pStyle w:val="Heading5"/>
      </w:pPr>
      <w:r>
        <w:t xml:space="preserve">Eric C. </w:t>
      </w:r>
      <w:proofErr w:type="spellStart"/>
      <w:r>
        <w:t>Dahlin</w:t>
      </w:r>
      <w:proofErr w:type="spellEnd"/>
      <w:r>
        <w:t>,</w:t>
      </w:r>
      <w:r w:rsidRPr="00444EE9">
        <w:t xml:space="preserve"> </w:t>
      </w:r>
      <w:r>
        <w:t xml:space="preserve">A. </w:t>
      </w:r>
      <w:r w:rsidRPr="0038434B">
        <w:t>Brent Strong</w:t>
      </w:r>
      <w:r w:rsidR="0070613B">
        <w:t xml:space="preserve"> and</w:t>
      </w:r>
      <w:r>
        <w:t xml:space="preserve"> Scott D. </w:t>
      </w:r>
      <w:proofErr w:type="spellStart"/>
      <w:r>
        <w:t>Grimshaw</w:t>
      </w:r>
      <w:proofErr w:type="spellEnd"/>
      <w:r>
        <w:t xml:space="preserve"> </w:t>
      </w:r>
    </w:p>
    <w:p w:rsidR="00AC7A0C" w:rsidRDefault="00AC7A0C" w:rsidP="00AC7A0C">
      <w:pPr>
        <w:pStyle w:val="Heading5"/>
      </w:pPr>
      <w:r>
        <w:t>USA</w:t>
      </w:r>
    </w:p>
    <w:p w:rsidR="00AC7A0C" w:rsidRDefault="00AC7A0C" w:rsidP="00AC7A0C">
      <w:pPr>
        <w:pStyle w:val="Heading3"/>
      </w:pPr>
      <w:r w:rsidRPr="00AD3079">
        <w:t>Abstract</w:t>
      </w:r>
    </w:p>
    <w:p w:rsidR="00AC7A0C" w:rsidRDefault="00AC7A0C" w:rsidP="00AC7A0C">
      <w:r>
        <w:t xml:space="preserve">Improving </w:t>
      </w:r>
      <w:r w:rsidRPr="00413416">
        <w:t>creativity and innovation is viewed as an increasing</w:t>
      </w:r>
      <w:r>
        <w:t>ly</w:t>
      </w:r>
      <w:r w:rsidRPr="00413416">
        <w:t xml:space="preserve"> important goal for classroom instruction. This paper evaluates whether a change in creativity occurred for students participating in a university “civilizations” </w:t>
      </w:r>
      <w:r w:rsidRPr="00D75413">
        <w:t xml:space="preserve">course </w:t>
      </w:r>
      <w:r>
        <w:t>in which</w:t>
      </w:r>
      <w:r w:rsidRPr="00D75413">
        <w:t xml:space="preserve"> the instructional approach focuses on </w:t>
      </w:r>
      <w:r w:rsidRPr="00413416">
        <w:t xml:space="preserve">lateral thinking skills, examines characteristics of world civilizations that exhibited high levels of creativity, and encourages students to practice being creative through a class project and exams. Students in the class who took the Torrance Test of Creative Thinking (TTCT) at the beginning and </w:t>
      </w:r>
      <w:r>
        <w:t xml:space="preserve">again at the </w:t>
      </w:r>
      <w:r w:rsidRPr="00413416">
        <w:t>end of the semester experienced a statistically significant change in creativity scores compared with students in the comparison group</w:t>
      </w:r>
      <w:r>
        <w:t>,</w:t>
      </w:r>
      <w:r w:rsidRPr="00413416">
        <w:t xml:space="preserve"> </w:t>
      </w:r>
      <w:r>
        <w:t xml:space="preserve">who </w:t>
      </w:r>
      <w:r w:rsidRPr="00413416">
        <w:t>experienced no significant change.</w:t>
      </w:r>
      <w:r>
        <w:t xml:space="preserve"> </w:t>
      </w:r>
    </w:p>
    <w:p w:rsidR="00AC7A0C" w:rsidRPr="00444EE9" w:rsidRDefault="00AC7A0C" w:rsidP="00AC7A0C">
      <w:pPr>
        <w:rPr>
          <w:sz w:val="20"/>
        </w:rPr>
      </w:pPr>
      <w:r w:rsidRPr="008E3898">
        <w:rPr>
          <w:b/>
          <w:sz w:val="20"/>
        </w:rPr>
        <w:t>Keywords</w:t>
      </w:r>
      <w:r w:rsidRPr="008E3898">
        <w:rPr>
          <w:b/>
          <w:caps/>
          <w:sz w:val="20"/>
        </w:rPr>
        <w:t>:</w:t>
      </w:r>
      <w:r w:rsidRPr="00444EE9">
        <w:rPr>
          <w:caps/>
          <w:sz w:val="20"/>
        </w:rPr>
        <w:t xml:space="preserve"> </w:t>
      </w:r>
      <w:r w:rsidRPr="00444EE9">
        <w:rPr>
          <w:sz w:val="20"/>
        </w:rPr>
        <w:t xml:space="preserve">creativity, Torrance </w:t>
      </w:r>
      <w:r w:rsidR="00352E32">
        <w:rPr>
          <w:sz w:val="20"/>
        </w:rPr>
        <w:t>T</w:t>
      </w:r>
      <w:r w:rsidRPr="00444EE9">
        <w:rPr>
          <w:sz w:val="20"/>
        </w:rPr>
        <w:t xml:space="preserve">est of </w:t>
      </w:r>
      <w:r w:rsidR="00352E32">
        <w:rPr>
          <w:sz w:val="20"/>
        </w:rPr>
        <w:t>C</w:t>
      </w:r>
      <w:r w:rsidRPr="00444EE9">
        <w:rPr>
          <w:sz w:val="20"/>
        </w:rPr>
        <w:t xml:space="preserve">reative </w:t>
      </w:r>
      <w:r w:rsidR="00352E32">
        <w:rPr>
          <w:sz w:val="20"/>
        </w:rPr>
        <w:t>T</w:t>
      </w:r>
      <w:r w:rsidRPr="00444EE9">
        <w:rPr>
          <w:sz w:val="20"/>
        </w:rPr>
        <w:t>hinking, curriculum, pedagogy, project-based learning</w:t>
      </w:r>
      <w:r>
        <w:rPr>
          <w:sz w:val="20"/>
        </w:rPr>
        <w:t>.</w:t>
      </w:r>
    </w:p>
    <w:p w:rsidR="00AC7A0C" w:rsidRPr="00694039" w:rsidRDefault="00AC7A0C" w:rsidP="00AC7A0C">
      <w:pPr>
        <w:pStyle w:val="Heading3"/>
      </w:pPr>
      <w:r w:rsidRPr="00694039">
        <w:t>Introduction</w:t>
      </w:r>
    </w:p>
    <w:p w:rsidR="00AC7A0C" w:rsidRPr="00413416" w:rsidRDefault="00AC7A0C" w:rsidP="00AC7A0C">
      <w:r w:rsidRPr="00D75413">
        <w:t xml:space="preserve">Discussions on public policy frequently suggest </w:t>
      </w:r>
      <w:r w:rsidRPr="00413416">
        <w:t xml:space="preserve">that education curricula promoting creativity and innovation is essential to solving problems related to economic development and other social </w:t>
      </w:r>
      <w:r>
        <w:t>issues</w:t>
      </w:r>
      <w:r w:rsidRPr="00413416">
        <w:t xml:space="preserve"> (Business Roundtable, 2005; Council on Competitiveness, 2005; </w:t>
      </w:r>
      <w:proofErr w:type="spellStart"/>
      <w:r w:rsidRPr="00413416">
        <w:t>McAloone</w:t>
      </w:r>
      <w:proofErr w:type="spellEnd"/>
      <w:r w:rsidRPr="00413416">
        <w:t>, 2007</w:t>
      </w:r>
      <w:r>
        <w:t xml:space="preserve">; </w:t>
      </w:r>
      <w:r w:rsidRPr="00413416">
        <w:t xml:space="preserve">OECD, 2004, 2008). </w:t>
      </w:r>
      <w:r>
        <w:t>For example</w:t>
      </w:r>
      <w:r w:rsidRPr="00413416">
        <w:t>, in 2009, U</w:t>
      </w:r>
      <w:r>
        <w:t>.S.</w:t>
      </w:r>
      <w:r w:rsidRPr="00413416">
        <w:t xml:space="preserve"> President Barack Obama launched a program called “Educate to Innovate.” This program is intended to help students excel in science, technology, engineering, and math (STEM). The assumption is that these disciplines provide students with the tools necessary to discover new solutions to existing social and economic problems. The Educate to Innovate website displays a </w:t>
      </w:r>
      <w:hyperlink r:id="rId37" w:history="1">
        <w:r w:rsidRPr="00965AE6">
          <w:rPr>
            <w:rStyle w:val="Hyperlink"/>
          </w:rPr>
          <w:t>video</w:t>
        </w:r>
      </w:hyperlink>
      <w:r w:rsidRPr="00413416">
        <w:t xml:space="preserve"> with prominent leaders advocating the importance of STEM education for innovation. One video clip features Steven Chu, Secretary of Energy and recipient of the Nobel Prize in physics, who </w:t>
      </w:r>
      <w:r>
        <w:t xml:space="preserve">endorses </w:t>
      </w:r>
      <w:r w:rsidRPr="00413416">
        <w:t xml:space="preserve">the value of STEM education for developing new solutions to address social issues. Chu states, “There will be Nobel Prize-caliber discoveries that have to be made in order for society to better </w:t>
      </w:r>
      <w:proofErr w:type="gramStart"/>
      <w:r w:rsidRPr="00413416">
        <w:t>itself</w:t>
      </w:r>
      <w:proofErr w:type="gramEnd"/>
      <w:r>
        <w:t xml:space="preserve">. . . . </w:t>
      </w:r>
      <w:r w:rsidRPr="00413416">
        <w:t>As a scientist or an engineer</w:t>
      </w:r>
      <w:r>
        <w:t xml:space="preserve"> . . .</w:t>
      </w:r>
      <w:r w:rsidRPr="00413416">
        <w:t xml:space="preserve"> you will have the tools to do many wondrous things, which will in large part help save the world” </w:t>
      </w:r>
      <w:r>
        <w:t>(Chu, 2011).</w:t>
      </w:r>
    </w:p>
    <w:p w:rsidR="00AC7A0C" w:rsidRPr="00413416" w:rsidRDefault="00AC7A0C" w:rsidP="00AC7A0C">
      <w:r>
        <w:rPr>
          <w:color w:val="000000"/>
        </w:rPr>
        <w:t>Despite</w:t>
      </w:r>
      <w:r w:rsidRPr="00413416">
        <w:rPr>
          <w:color w:val="000000"/>
        </w:rPr>
        <w:t xml:space="preserve"> the current </w:t>
      </w:r>
      <w:r>
        <w:rPr>
          <w:color w:val="000000"/>
        </w:rPr>
        <w:t>rhetoric</w:t>
      </w:r>
      <w:r w:rsidRPr="00413416">
        <w:rPr>
          <w:color w:val="000000"/>
        </w:rPr>
        <w:t xml:space="preserve"> regarding the importance of education for </w:t>
      </w:r>
      <w:r>
        <w:rPr>
          <w:color w:val="000000"/>
        </w:rPr>
        <w:t xml:space="preserve">developing </w:t>
      </w:r>
      <w:r w:rsidRPr="00413416">
        <w:rPr>
          <w:color w:val="000000"/>
        </w:rPr>
        <w:t xml:space="preserve">creativity and innovation, education curricula often </w:t>
      </w:r>
      <w:r w:rsidRPr="00413416">
        <w:t>fail to teach students how to produce knowledge and be creative (Sawyer, 2004). Instead, students are “taught that knowledge is static and complete, and they become experts at consuming knowledge rather than producing knowledge” (Sawyer, 2006</w:t>
      </w:r>
      <w:r>
        <w:t>, p.</w:t>
      </w:r>
      <w:r w:rsidRPr="00413416">
        <w:t xml:space="preserve"> 42). Although research</w:t>
      </w:r>
      <w:r>
        <w:t>ers have</w:t>
      </w:r>
      <w:r w:rsidRPr="00413416">
        <w:t xml:space="preserve"> explore</w:t>
      </w:r>
      <w:r>
        <w:t>d the benefits of</w:t>
      </w:r>
      <w:r w:rsidRPr="00413416">
        <w:t xml:space="preserve"> curricula that promote creativity (Covington, Crutchfield, Davies, &amp; Olton, 1974; Craft, Jeffrey, &amp; </w:t>
      </w:r>
      <w:proofErr w:type="spellStart"/>
      <w:r w:rsidRPr="00413416">
        <w:t>Leibling</w:t>
      </w:r>
      <w:proofErr w:type="spellEnd"/>
      <w:r w:rsidRPr="00413416">
        <w:t xml:space="preserve">, 2001; de Bono, 1973; </w:t>
      </w:r>
      <w:proofErr w:type="spellStart"/>
      <w:r w:rsidRPr="00413416">
        <w:rPr>
          <w:color w:val="000000"/>
        </w:rPr>
        <w:t>Feldhusen</w:t>
      </w:r>
      <w:proofErr w:type="spellEnd"/>
      <w:r w:rsidRPr="00413416">
        <w:rPr>
          <w:color w:val="000000"/>
        </w:rPr>
        <w:t xml:space="preserve">, 1983; </w:t>
      </w:r>
      <w:r w:rsidRPr="00413416">
        <w:t>Nickerson, 1999; Sawyer</w:t>
      </w:r>
      <w:r>
        <w:t>,</w:t>
      </w:r>
      <w:r w:rsidRPr="00413416">
        <w:t xml:space="preserve"> 2004, 2006; Strom </w:t>
      </w:r>
      <w:r>
        <w:t>&amp;</w:t>
      </w:r>
      <w:r w:rsidRPr="00413416">
        <w:t xml:space="preserve"> Strom, 2002; </w:t>
      </w:r>
      <w:proofErr w:type="spellStart"/>
      <w:r w:rsidRPr="00413416">
        <w:t>Waring</w:t>
      </w:r>
      <w:proofErr w:type="spellEnd"/>
      <w:r>
        <w:t>,</w:t>
      </w:r>
      <w:r w:rsidRPr="00413416">
        <w:t xml:space="preserve"> 2009; West, </w:t>
      </w:r>
      <w:proofErr w:type="spellStart"/>
      <w:r w:rsidRPr="00413416">
        <w:t>Tateishi</w:t>
      </w:r>
      <w:proofErr w:type="spellEnd"/>
      <w:r w:rsidRPr="00413416">
        <w:t xml:space="preserve">, Wright, </w:t>
      </w:r>
      <w:r>
        <w:t>&amp;</w:t>
      </w:r>
      <w:r w:rsidRPr="00413416">
        <w:t xml:space="preserve"> </w:t>
      </w:r>
      <w:proofErr w:type="spellStart"/>
      <w:r w:rsidRPr="00413416">
        <w:t>Fonoimoana</w:t>
      </w:r>
      <w:proofErr w:type="spellEnd"/>
      <w:r w:rsidRPr="00413416">
        <w:t xml:space="preserve">, in press), traditional teaching strategies persist that </w:t>
      </w:r>
      <w:r>
        <w:t xml:space="preserve">focus on </w:t>
      </w:r>
      <w:r w:rsidRPr="00413416">
        <w:t>scripted communication patterns</w:t>
      </w:r>
      <w:r>
        <w:t xml:space="preserve"> and</w:t>
      </w:r>
      <w:r w:rsidRPr="00413416">
        <w:t xml:space="preserve"> planned discussion between the student and teacher</w:t>
      </w:r>
      <w:r>
        <w:t>;</w:t>
      </w:r>
      <w:r w:rsidRPr="00413416">
        <w:t xml:space="preserve"> </w:t>
      </w:r>
      <w:r>
        <w:t xml:space="preserve">these methods </w:t>
      </w:r>
      <w:r w:rsidRPr="00413416">
        <w:t>focus on the distribution</w:t>
      </w:r>
      <w:r>
        <w:t>—</w:t>
      </w:r>
      <w:r w:rsidRPr="00413416">
        <w:t>as opposed to the creation</w:t>
      </w:r>
      <w:r>
        <w:t>—</w:t>
      </w:r>
      <w:r w:rsidRPr="00413416">
        <w:t>of knowledge and reduce creativity in the classroom (</w:t>
      </w:r>
      <w:proofErr w:type="spellStart"/>
      <w:r w:rsidRPr="00413416">
        <w:t>Mehan</w:t>
      </w:r>
      <w:proofErr w:type="spellEnd"/>
      <w:r w:rsidRPr="00413416">
        <w:t>, 1979;</w:t>
      </w:r>
      <w:r>
        <w:t xml:space="preserve"> </w:t>
      </w:r>
      <w:proofErr w:type="spellStart"/>
      <w:r w:rsidRPr="00413416">
        <w:t>Papert</w:t>
      </w:r>
      <w:proofErr w:type="spellEnd"/>
      <w:r w:rsidRPr="00413416">
        <w:t>, 1993</w:t>
      </w:r>
      <w:r>
        <w:t xml:space="preserve">; </w:t>
      </w:r>
      <w:proofErr w:type="spellStart"/>
      <w:r w:rsidRPr="00413416">
        <w:t>Rogoff</w:t>
      </w:r>
      <w:proofErr w:type="spellEnd"/>
      <w:r w:rsidRPr="00413416">
        <w:t>, 1990</w:t>
      </w:r>
      <w:r>
        <w:t>;</w:t>
      </w:r>
      <w:r w:rsidRPr="00BA69C6">
        <w:t xml:space="preserve"> </w:t>
      </w:r>
      <w:r w:rsidRPr="00413416">
        <w:t xml:space="preserve">Sinclair </w:t>
      </w:r>
      <w:r>
        <w:t>&amp;</w:t>
      </w:r>
      <w:r w:rsidRPr="00413416">
        <w:t xml:space="preserve"> </w:t>
      </w:r>
      <w:proofErr w:type="spellStart"/>
      <w:r w:rsidRPr="00413416">
        <w:t>Coulthard</w:t>
      </w:r>
      <w:proofErr w:type="spellEnd"/>
      <w:r w:rsidRPr="00413416">
        <w:t xml:space="preserve">, 1975). Traditional approaches to knowledge distribution </w:t>
      </w:r>
      <w:r>
        <w:t xml:space="preserve">in </w:t>
      </w:r>
      <w:r w:rsidRPr="00413416">
        <w:t xml:space="preserve">classroom settings are largely a function of educational and political incentives that reward teaching curricula </w:t>
      </w:r>
      <w:r>
        <w:t xml:space="preserve">focused on </w:t>
      </w:r>
      <w:r w:rsidRPr="00413416">
        <w:t>prepar</w:t>
      </w:r>
      <w:r>
        <w:t xml:space="preserve">ing </w:t>
      </w:r>
      <w:r w:rsidRPr="00413416">
        <w:t xml:space="preserve">students for achievement tests rather than </w:t>
      </w:r>
      <w:r>
        <w:t>on</w:t>
      </w:r>
      <w:r w:rsidRPr="00413416">
        <w:t xml:space="preserve"> </w:t>
      </w:r>
      <w:r>
        <w:t xml:space="preserve">student </w:t>
      </w:r>
      <w:r w:rsidRPr="00413416">
        <w:t xml:space="preserve">creativity, </w:t>
      </w:r>
      <w:r>
        <w:t xml:space="preserve">ability to </w:t>
      </w:r>
      <w:r w:rsidRPr="00413416">
        <w:t>improvis</w:t>
      </w:r>
      <w:r>
        <w:t>e</w:t>
      </w:r>
      <w:r w:rsidRPr="00413416">
        <w:t xml:space="preserve">, or </w:t>
      </w:r>
      <w:r>
        <w:t xml:space="preserve">application of </w:t>
      </w:r>
      <w:r w:rsidRPr="00413416">
        <w:t xml:space="preserve">other problem-solving skills. </w:t>
      </w:r>
      <w:r w:rsidRPr="00413416">
        <w:rPr>
          <w:color w:val="000000"/>
        </w:rPr>
        <w:t xml:space="preserve">Given the importance of curricula that encourage the production of knowledge, additional research is needed to </w:t>
      </w:r>
      <w:r w:rsidRPr="00413416">
        <w:t xml:space="preserve">better understand teaching strategies </w:t>
      </w:r>
      <w:r>
        <w:t>designed to</w:t>
      </w:r>
      <w:r w:rsidRPr="00413416">
        <w:t xml:space="preserve"> facilitate and improve student creativity (Smoot, 2006; Todd </w:t>
      </w:r>
      <w:r>
        <w:t>&amp;</w:t>
      </w:r>
      <w:r w:rsidRPr="00413416">
        <w:t xml:space="preserve"> </w:t>
      </w:r>
      <w:proofErr w:type="spellStart"/>
      <w:r w:rsidRPr="00413416">
        <w:t>Magleby</w:t>
      </w:r>
      <w:proofErr w:type="spellEnd"/>
      <w:r w:rsidRPr="00413416">
        <w:t xml:space="preserve">, 2004). </w:t>
      </w:r>
    </w:p>
    <w:p w:rsidR="00AC7A0C" w:rsidRDefault="00AC7A0C" w:rsidP="00AC7A0C">
      <w:r w:rsidRPr="00413416">
        <w:t>In this paper we conduct a</w:t>
      </w:r>
      <w:r>
        <w:t>n</w:t>
      </w:r>
      <w:r w:rsidRPr="00413416">
        <w:t xml:space="preserve"> experiment to examine whether principles of creativity taught in a university “civilizations” course</w:t>
      </w:r>
      <w:r>
        <w:t xml:space="preserve"> </w:t>
      </w:r>
      <w:r w:rsidRPr="00413416">
        <w:t>effectively increases creativity among college students. The course</w:t>
      </w:r>
      <w:r>
        <w:t xml:space="preserve"> is </w:t>
      </w:r>
      <w:r w:rsidRPr="00413416">
        <w:t>designed to examine creativity</w:t>
      </w:r>
      <w:r w:rsidRPr="001A2C5F">
        <w:t xml:space="preserve"> </w:t>
      </w:r>
      <w:r w:rsidRPr="00413416">
        <w:t>exhibited by world civilizations in arts and culture, science and technology, and politics</w:t>
      </w:r>
      <w:r>
        <w:t xml:space="preserve"> and </w:t>
      </w:r>
      <w:r w:rsidRPr="00413416">
        <w:t xml:space="preserve">uses examples from world civilizations to illustrate and teach principles of lateral thinking and </w:t>
      </w:r>
      <w:r>
        <w:t xml:space="preserve">to </w:t>
      </w:r>
      <w:r w:rsidRPr="00413416">
        <w:t xml:space="preserve">help students apply the principles of lateral thinking </w:t>
      </w:r>
      <w:r>
        <w:t>when completing</w:t>
      </w:r>
      <w:r w:rsidRPr="00413416">
        <w:t xml:space="preserve"> assignments and exams. </w:t>
      </w:r>
      <w:r>
        <w:t xml:space="preserve">We assess whether a change in creativity occurred among students enrolled in the course using the </w:t>
      </w:r>
      <w:r w:rsidRPr="00413416">
        <w:t>Torrance Test of Creative Thinking (TTCT) (Torrance, 2008)</w:t>
      </w:r>
      <w:r>
        <w:t xml:space="preserve">. </w:t>
      </w:r>
      <w:r w:rsidRPr="00413416">
        <w:t xml:space="preserve"> </w:t>
      </w:r>
    </w:p>
    <w:p w:rsidR="00AC7A0C" w:rsidRPr="00413416" w:rsidRDefault="00AC7A0C" w:rsidP="00AC7A0C">
      <w:pPr>
        <w:pStyle w:val="Heading3"/>
      </w:pPr>
      <w:r w:rsidRPr="00413416">
        <w:t>Course Overview</w:t>
      </w:r>
    </w:p>
    <w:p w:rsidR="00AC7A0C" w:rsidRDefault="00AC7A0C" w:rsidP="00AC7A0C">
      <w:r w:rsidRPr="00413416">
        <w:t>The civilizations course under investigation is entitled “History of Creativity</w:t>
      </w:r>
      <w:r>
        <w:t>.</w:t>
      </w:r>
      <w:r w:rsidRPr="00413416">
        <w:t xml:space="preserve">” </w:t>
      </w:r>
      <w:r>
        <w:t xml:space="preserve">The course was </w:t>
      </w:r>
      <w:r w:rsidRPr="00413416">
        <w:t xml:space="preserve">developed by </w:t>
      </w:r>
      <w:r>
        <w:t>one of the authors,</w:t>
      </w:r>
      <w:r w:rsidRPr="00413416">
        <w:t xml:space="preserve"> and it is </w:t>
      </w:r>
      <w:r>
        <w:t>taken</w:t>
      </w:r>
      <w:r w:rsidRPr="00413416">
        <w:t xml:space="preserve"> by students with diverse academic majors</w:t>
      </w:r>
      <w:r>
        <w:t>,</w:t>
      </w:r>
      <w:r w:rsidRPr="00413416">
        <w:t xml:space="preserve"> including engineering, the natural sciences, and the social sciences. The </w:t>
      </w:r>
      <w:r>
        <w:t>c</w:t>
      </w:r>
      <w:r w:rsidRPr="00413416">
        <w:t xml:space="preserve">reativity </w:t>
      </w:r>
      <w:r>
        <w:t>c</w:t>
      </w:r>
      <w:r w:rsidRPr="00413416">
        <w:t xml:space="preserve">lass is a general education course and fulfills the civilization requirement for undergraduate students at </w:t>
      </w:r>
      <w:r w:rsidR="00965AE6">
        <w:t>Brigham Young University (</w:t>
      </w:r>
      <w:r w:rsidRPr="00413416">
        <w:t>BYU</w:t>
      </w:r>
      <w:r w:rsidR="00965AE6">
        <w:t>)</w:t>
      </w:r>
      <w:r w:rsidRPr="00413416">
        <w:t xml:space="preserve">. Course content covers two semesters. Each semester focuses on </w:t>
      </w:r>
      <w:r>
        <w:t>one of two</w:t>
      </w:r>
      <w:r w:rsidRPr="00413416">
        <w:t xml:space="preserve"> historical periods: pre-1500 </w:t>
      </w:r>
      <w:r w:rsidRPr="00AA5C7F">
        <w:rPr>
          <w:smallCaps/>
        </w:rPr>
        <w:t>AD</w:t>
      </w:r>
      <w:r w:rsidRPr="00413416">
        <w:t xml:space="preserve"> and 1500 </w:t>
      </w:r>
      <w:r w:rsidRPr="00AA5C7F">
        <w:rPr>
          <w:smallCaps/>
        </w:rPr>
        <w:t>AD</w:t>
      </w:r>
      <w:r w:rsidRPr="00413416">
        <w:t xml:space="preserve"> to the present. Material for the first semester consists of the Mesopotamian and Egyptian civilizations and the Greek and Roman Empires, among others. Course material for the second semester begins with the Italian Renaissance and ends with contemporary society. Aspects of contemporary society discussed in class include </w:t>
      </w:r>
      <w:r>
        <w:t xml:space="preserve">major conflicts (e.g., </w:t>
      </w:r>
      <w:r w:rsidRPr="00413416">
        <w:t>World War II, the Cold War, India’s struggle for independence</w:t>
      </w:r>
      <w:r>
        <w:t>,</w:t>
      </w:r>
      <w:r w:rsidRPr="00413416">
        <w:t xml:space="preserve"> and conflicts in the Middle East</w:t>
      </w:r>
      <w:r>
        <w:t>),</w:t>
      </w:r>
      <w:r w:rsidRPr="00413416">
        <w:t xml:space="preserve"> modern arts (music, painting, sculpture, literature)</w:t>
      </w:r>
      <w:r>
        <w:t>,</w:t>
      </w:r>
      <w:r w:rsidRPr="00413416">
        <w:t xml:space="preserve"> and scientific and technological advances of the </w:t>
      </w:r>
      <w:r>
        <w:t>20th</w:t>
      </w:r>
      <w:r w:rsidRPr="00413416">
        <w:t xml:space="preserve"> and </w:t>
      </w:r>
      <w:r>
        <w:t>21st</w:t>
      </w:r>
      <w:r w:rsidRPr="00413416">
        <w:t xml:space="preserve"> </w:t>
      </w:r>
      <w:r>
        <w:t>c</w:t>
      </w:r>
      <w:r w:rsidRPr="00413416">
        <w:t xml:space="preserve">enturies. The course is designed to emphasize aspects of civilization that are relevant across academic disciplines. To this end, the course underscores the creativity of civilizations by describing creativity exhibited in the arts, architecture, science and technology, and politics. </w:t>
      </w:r>
    </w:p>
    <w:p w:rsidR="00AC7A0C" w:rsidRPr="00401B0A" w:rsidRDefault="00AC7A0C" w:rsidP="00AC7A0C">
      <w:pPr>
        <w:pStyle w:val="Heading3"/>
      </w:pPr>
      <w:r w:rsidRPr="00401B0A">
        <w:t>Course Concepts and Applications</w:t>
      </w:r>
    </w:p>
    <w:p w:rsidR="00AC7A0C" w:rsidRPr="00413416" w:rsidRDefault="00AC7A0C" w:rsidP="00AC7A0C">
      <w:r w:rsidRPr="00413416">
        <w:t xml:space="preserve">Course content not only describes creative aspects of civilizations, it identifies general principles of creativity. The first lecture of each semester includes a discussion of vertical or linear thinking, lateral thinking, and criteria </w:t>
      </w:r>
      <w:r>
        <w:t xml:space="preserve">used </w:t>
      </w:r>
      <w:r w:rsidRPr="00413416">
        <w:t xml:space="preserve">to evaluate creativity. </w:t>
      </w:r>
      <w:r>
        <w:t>L</w:t>
      </w:r>
      <w:r w:rsidRPr="00413416">
        <w:t xml:space="preserve">inear thinking is based on logic, previous experience, and proven, sequential methods; lateral thinking refers to finding solutions by viewing problems in a new way or through unconventional approaches (de Bono 1970, 1985). </w:t>
      </w:r>
      <w:r>
        <w:t>S</w:t>
      </w:r>
      <w:r w:rsidRPr="00413416">
        <w:t>ubsequent class lectures</w:t>
      </w:r>
      <w:r>
        <w:t xml:space="preserve"> highlight</w:t>
      </w:r>
      <w:r w:rsidRPr="00413416">
        <w:t xml:space="preserve"> </w:t>
      </w:r>
      <w:r>
        <w:t xml:space="preserve">examples of </w:t>
      </w:r>
      <w:r w:rsidRPr="00413416">
        <w:t xml:space="preserve">linear and lateral thinking exhibited in world civilizations. Linear thinking is taught by describing people and events in historical sequence. Lateral thinking is taught by comparing people, events, and cultural styles from one civilization </w:t>
      </w:r>
      <w:r>
        <w:t>with those same things in</w:t>
      </w:r>
      <w:r w:rsidRPr="00413416">
        <w:t xml:space="preserve"> another civilization</w:t>
      </w:r>
      <w:r>
        <w:t>,</w:t>
      </w:r>
      <w:r w:rsidRPr="00413416">
        <w:t xml:space="preserve"> such as </w:t>
      </w:r>
      <w:r>
        <w:t xml:space="preserve">the philosophies of Sir Francis </w:t>
      </w:r>
      <w:r w:rsidRPr="00413416">
        <w:t xml:space="preserve">Bacon and </w:t>
      </w:r>
      <w:r>
        <w:t xml:space="preserve">René </w:t>
      </w:r>
      <w:r w:rsidRPr="00413416">
        <w:t>Descartes</w:t>
      </w:r>
      <w:r>
        <w:t>,</w:t>
      </w:r>
      <w:r w:rsidRPr="00413416">
        <w:t xml:space="preserve"> or </w:t>
      </w:r>
      <w:r>
        <w:t xml:space="preserve">art and architecture from </w:t>
      </w:r>
      <w:r w:rsidRPr="00413416">
        <w:t>the Renaissance and Baroque</w:t>
      </w:r>
      <w:r>
        <w:t xml:space="preserve"> periods</w:t>
      </w:r>
      <w:r w:rsidRPr="00413416">
        <w:t>. In addition, course assignments and tests provide students with opportunities to practice</w:t>
      </w:r>
      <w:r>
        <w:t xml:space="preserve"> being creative</w:t>
      </w:r>
      <w:r w:rsidRPr="00413416">
        <w:t xml:space="preserve">. Course exams evaluate both linear thinking (i.e., questions ask students to define key terms and match people and places) and lateral thinking (i.e., essay questions require comparing and contrasting people, concepts, and civilizations). Each exam includes a take home question that requires students to create a work of art, literature, sculpture, or invention within certain parameters that are pertinent to the particular time period covered by the exam. For example, the students might be asked to write a sonnet about university dating in the style of Shakespeare or, in another time period, to design a house in both the Baroque and the Classical styles and point out the differences. </w:t>
      </w:r>
    </w:p>
    <w:p w:rsidR="00AC7A0C" w:rsidRPr="00413416" w:rsidRDefault="00AC7A0C" w:rsidP="00AC7A0C">
      <w:r w:rsidRPr="00413416">
        <w:t xml:space="preserve">Principles of creativity are also taught </w:t>
      </w:r>
      <w:r>
        <w:t>to</w:t>
      </w:r>
      <w:r w:rsidRPr="00413416">
        <w:t xml:space="preserve"> provide students with a framework for evaluating the creativity demonstrated by each of the civilizations discussed over the course of the semester. These broad principles include originality and appropriateness or usefulness (Jackson </w:t>
      </w:r>
      <w:r>
        <w:t>&amp;</w:t>
      </w:r>
      <w:r w:rsidRPr="00413416">
        <w:t xml:space="preserve"> </w:t>
      </w:r>
      <w:proofErr w:type="spellStart"/>
      <w:r w:rsidRPr="00413416">
        <w:t>Messick</w:t>
      </w:r>
      <w:proofErr w:type="spellEnd"/>
      <w:r w:rsidRPr="00413416">
        <w:t xml:space="preserve">, 1967; Mumford </w:t>
      </w:r>
      <w:r>
        <w:t>&amp;</w:t>
      </w:r>
      <w:r w:rsidRPr="00413416">
        <w:t xml:space="preserve"> Simonton, 1997; </w:t>
      </w:r>
      <w:proofErr w:type="spellStart"/>
      <w:r w:rsidRPr="00413416">
        <w:t>Runco</w:t>
      </w:r>
      <w:proofErr w:type="spellEnd"/>
      <w:r w:rsidRPr="00413416">
        <w:t>, 2004). Originality refers to the novelty of an object or practice. Appropriateness indicates that “creative products are useful for an intended audience” (West et al., in press). Additional principles of creativity discussed in class include</w:t>
      </w:r>
      <w:r>
        <w:t xml:space="preserve"> the concepts</w:t>
      </w:r>
      <w:r w:rsidRPr="00413416">
        <w:t xml:space="preserve"> </w:t>
      </w:r>
      <w:r w:rsidRPr="002543AD">
        <w:rPr>
          <w:i/>
          <w:iCs/>
        </w:rPr>
        <w:t>intent</w:t>
      </w:r>
      <w:r w:rsidRPr="00413416">
        <w:t xml:space="preserve"> and </w:t>
      </w:r>
      <w:r w:rsidRPr="002543AD">
        <w:rPr>
          <w:i/>
          <w:iCs/>
        </w:rPr>
        <w:t>implementation</w:t>
      </w:r>
      <w:r w:rsidRPr="00413416">
        <w:t xml:space="preserve">. Intent suggests that an innovation is not merely the result of serendipity, but </w:t>
      </w:r>
      <w:r>
        <w:t xml:space="preserve">of </w:t>
      </w:r>
      <w:r w:rsidRPr="00413416">
        <w:t xml:space="preserve">deliberate action. Implementation signifies that a new object is functional and </w:t>
      </w:r>
      <w:r>
        <w:t>its use is evident</w:t>
      </w:r>
      <w:r w:rsidRPr="00413416">
        <w:t xml:space="preserve"> </w:t>
      </w:r>
      <w:r>
        <w:t>in the time period being studied</w:t>
      </w:r>
      <w:r w:rsidRPr="00413416">
        <w:t xml:space="preserve">. </w:t>
      </w:r>
    </w:p>
    <w:p w:rsidR="00AC7A0C" w:rsidRPr="00413416" w:rsidRDefault="00AC7A0C" w:rsidP="00AC7A0C">
      <w:r w:rsidRPr="00413416">
        <w:t>An illustration of how these criteria are used to evaluate creativity within a civilization is the lecture on Greek versus Roman creativity</w:t>
      </w:r>
      <w:r>
        <w:t>. Here</w:t>
      </w:r>
      <w:r w:rsidRPr="00413416">
        <w:t xml:space="preserve"> the instructor points out that the ancient Greeks were typically interested in original ideas and discovery of the world through science</w:t>
      </w:r>
      <w:r>
        <w:t>,</w:t>
      </w:r>
      <w:r w:rsidRPr="00413416">
        <w:t xml:space="preserve"> whereas the Romans were more likely to adapt and implement existing ideas to create a better society through engineering. Examples from each </w:t>
      </w:r>
      <w:r>
        <w:t xml:space="preserve">culture </w:t>
      </w:r>
      <w:r w:rsidRPr="00413416">
        <w:t>are examined and discussed. Class</w:t>
      </w:r>
      <w:r>
        <w:t>es</w:t>
      </w:r>
      <w:r w:rsidRPr="00413416">
        <w:t xml:space="preserve"> discuss whether the Romans were truly creative if their contribution was not unique in discovery</w:t>
      </w:r>
      <w:r>
        <w:t>,</w:t>
      </w:r>
      <w:r w:rsidRPr="00413416">
        <w:t xml:space="preserve"> but</w:t>
      </w:r>
      <w:r>
        <w:t xml:space="preserve"> was</w:t>
      </w:r>
      <w:r w:rsidRPr="00413416">
        <w:t xml:space="preserve"> implemented from other civilizations</w:t>
      </w:r>
      <w:r>
        <w:t>,</w:t>
      </w:r>
      <w:r w:rsidRPr="00413416">
        <w:t xml:space="preserve"> </w:t>
      </w:r>
      <w:r>
        <w:t xml:space="preserve">and </w:t>
      </w:r>
      <w:r w:rsidRPr="00413416">
        <w:t>the historical importance of social and cultural artifacts and arrangements produced</w:t>
      </w:r>
      <w:r>
        <w:t xml:space="preserve"> by </w:t>
      </w:r>
      <w:r w:rsidRPr="00413416">
        <w:t xml:space="preserve">each society. </w:t>
      </w:r>
    </w:p>
    <w:p w:rsidR="00AC7A0C" w:rsidRPr="00413416" w:rsidRDefault="00AC7A0C" w:rsidP="00AC7A0C">
      <w:r w:rsidRPr="00413416">
        <w:t>Project-based learning (</w:t>
      </w:r>
      <w:proofErr w:type="spellStart"/>
      <w:r w:rsidRPr="00413416">
        <w:t>P</w:t>
      </w:r>
      <w:r>
        <w:t>j</w:t>
      </w:r>
      <w:r w:rsidRPr="00413416">
        <w:t>BL</w:t>
      </w:r>
      <w:proofErr w:type="spellEnd"/>
      <w:r w:rsidRPr="00413416">
        <w:t xml:space="preserve">) is another key element of class. </w:t>
      </w:r>
      <w:proofErr w:type="spellStart"/>
      <w:r>
        <w:t>PjBL</w:t>
      </w:r>
      <w:proofErr w:type="spellEnd"/>
      <w:r w:rsidRPr="00413416">
        <w:t xml:space="preserve"> is a common method for teaching creativity, especially in design and engineering education. The purpose of </w:t>
      </w:r>
      <w:proofErr w:type="spellStart"/>
      <w:r>
        <w:t>PjBL</w:t>
      </w:r>
      <w:proofErr w:type="spellEnd"/>
      <w:r w:rsidRPr="00413416">
        <w:t xml:space="preserve"> is to create and develop an authentic, or “real life,” project that address</w:t>
      </w:r>
      <w:r>
        <w:t>es</w:t>
      </w:r>
      <w:r w:rsidRPr="00413416">
        <w:t xml:space="preserve"> a problem and provides a solution. “</w:t>
      </w:r>
      <w:r w:rsidRPr="00413416">
        <w:rPr>
          <w:color w:val="000000"/>
        </w:rPr>
        <w:t>Designing an authentic project means that pupils define their own design problem, deal with needs, and decide on their requirements” (</w:t>
      </w:r>
      <w:proofErr w:type="spellStart"/>
      <w:r w:rsidRPr="00413416">
        <w:rPr>
          <w:color w:val="000000"/>
        </w:rPr>
        <w:t>Doppelt</w:t>
      </w:r>
      <w:proofErr w:type="spellEnd"/>
      <w:r w:rsidRPr="00413416">
        <w:rPr>
          <w:color w:val="000000"/>
        </w:rPr>
        <w:t>, 2009</w:t>
      </w:r>
      <w:r>
        <w:rPr>
          <w:color w:val="000000"/>
        </w:rPr>
        <w:t>, p.</w:t>
      </w:r>
      <w:r w:rsidRPr="00413416">
        <w:rPr>
          <w:color w:val="000000"/>
        </w:rPr>
        <w:t xml:space="preserve"> 57). </w:t>
      </w:r>
      <w:proofErr w:type="spellStart"/>
      <w:r>
        <w:t>PjBL</w:t>
      </w:r>
      <w:proofErr w:type="spellEnd"/>
      <w:r w:rsidRPr="00413416">
        <w:t xml:space="preserve"> privileges problem-solving skills and student interests over a “fixed curriculum.” It provides students with direct experience instead of passively absorb</w:t>
      </w:r>
      <w:r>
        <w:t>ed</w:t>
      </w:r>
      <w:r w:rsidRPr="00413416">
        <w:t xml:space="preserve"> instruction. Accordingly, the role of the teacher changes from an instructor or lecturer to a supportive resource or mentor (Newell, 2003). Th</w:t>
      </w:r>
      <w:r>
        <w:t xml:space="preserve">e project for class </w:t>
      </w:r>
      <w:r w:rsidRPr="00413416">
        <w:t xml:space="preserve">can be the invention of a product or service, </w:t>
      </w:r>
      <w:r>
        <w:t xml:space="preserve">the creation of </w:t>
      </w:r>
      <w:r w:rsidRPr="00413416">
        <w:t>a work of art, a creative illustration of a technology</w:t>
      </w:r>
      <w:r>
        <w:t>,</w:t>
      </w:r>
      <w:r w:rsidRPr="00413416">
        <w:t xml:space="preserve"> or almost any other creative work that fits the criteria used to evaluat</w:t>
      </w:r>
      <w:r>
        <w:t>e</w:t>
      </w:r>
      <w:r w:rsidRPr="00413416">
        <w:t xml:space="preserve"> the projects by the instructor, links to the subject of the semester in </w:t>
      </w:r>
      <w:r>
        <w:t>historical context</w:t>
      </w:r>
      <w:r w:rsidRPr="00413416">
        <w:t xml:space="preserve"> and subject material, and illustrates principles of creativity. The project promotes lateral thinking by encouraging students to develop a new idea by combining their knowledge of course concepts with their intellectual interests. </w:t>
      </w:r>
    </w:p>
    <w:p w:rsidR="00AC7A0C" w:rsidRDefault="00AC7A0C" w:rsidP="00AC7A0C">
      <w:r>
        <w:t>The instructor and teaching assistants for this class mentor the students throughout the course. T</w:t>
      </w:r>
      <w:r w:rsidRPr="00413416">
        <w:t>eaching assistants</w:t>
      </w:r>
      <w:r>
        <w:t xml:space="preserve"> spend time</w:t>
      </w:r>
      <w:r w:rsidRPr="00413416">
        <w:t xml:space="preserve"> discuss</w:t>
      </w:r>
      <w:r>
        <w:t>ing</w:t>
      </w:r>
      <w:r w:rsidRPr="00413416">
        <w:t xml:space="preserve"> ideas for the final project with students</w:t>
      </w:r>
      <w:r>
        <w:t>,</w:t>
      </w:r>
      <w:r w:rsidRPr="00413416">
        <w:t xml:space="preserve"> and it is not uncommon for the instructor to meet and consult with 100 or more students</w:t>
      </w:r>
      <w:r>
        <w:t xml:space="preserve"> during a typical semester</w:t>
      </w:r>
      <w:r w:rsidRPr="00413416">
        <w:t xml:space="preserve"> to help them generate and develop ideas for this assignment. </w:t>
      </w:r>
      <w:r>
        <w:t xml:space="preserve">During </w:t>
      </w:r>
      <w:r w:rsidRPr="00413416">
        <w:t>one semester</w:t>
      </w:r>
      <w:r>
        <w:t>,</w:t>
      </w:r>
      <w:r w:rsidRPr="00413416">
        <w:t xml:space="preserve"> a particular student asked the instructor for assistance </w:t>
      </w:r>
      <w:r>
        <w:t xml:space="preserve">in </w:t>
      </w:r>
      <w:r w:rsidRPr="00413416">
        <w:t>generating an idea for her final project. In this situation, the instructor typically asks three questions to determine the student’s personal and intellectual interests: What is your major? What is your hobby? What is your favorite time period that was discussed for this course?</w:t>
      </w:r>
      <w:r>
        <w:t xml:space="preserve"> T</w:t>
      </w:r>
      <w:r w:rsidRPr="00413416">
        <w:t xml:space="preserve">he student’s responses to these questions were communications, running, and the Renaissance. With the help of the instructor, the student developed an idea that combined her personal and intellectual interests. The project the student decided on was to create a running magazine situated </w:t>
      </w:r>
      <w:r>
        <w:t>during</w:t>
      </w:r>
      <w:r w:rsidRPr="00413416">
        <w:t xml:space="preserve"> the Renaissance. It included advertisements, stories about key actors from the time period, and it was titled </w:t>
      </w:r>
      <w:proofErr w:type="spellStart"/>
      <w:r w:rsidRPr="007E50C6">
        <w:rPr>
          <w:i/>
          <w:iCs/>
        </w:rPr>
        <w:t>Runaissance</w:t>
      </w:r>
      <w:proofErr w:type="spellEnd"/>
      <w:r w:rsidRPr="00413416">
        <w:t xml:space="preserve">. </w:t>
      </w:r>
    </w:p>
    <w:p w:rsidR="00AC7A0C" w:rsidRPr="00413416" w:rsidRDefault="00AC7A0C" w:rsidP="00AC7A0C">
      <w:pPr>
        <w:pStyle w:val="Heading3"/>
      </w:pPr>
      <w:r w:rsidRPr="00413416">
        <w:t>Research Design</w:t>
      </w:r>
    </w:p>
    <w:p w:rsidR="00AC7A0C" w:rsidRDefault="00AC7A0C" w:rsidP="00AC7A0C">
      <w:r>
        <w:t xml:space="preserve">We expect students enrolled in the History of Creativity Class to develop greater creativity for several reasons. First, class lectures and discussions highlight aspects of </w:t>
      </w:r>
      <w:r w:rsidRPr="00806CC8">
        <w:t xml:space="preserve">civilizations </w:t>
      </w:r>
      <w:r>
        <w:t xml:space="preserve">that </w:t>
      </w:r>
      <w:r w:rsidRPr="00806CC8">
        <w:t xml:space="preserve">were creative </w:t>
      </w:r>
      <w:r>
        <w:t>(</w:t>
      </w:r>
      <w:r w:rsidRPr="00806CC8">
        <w:t xml:space="preserve">or not </w:t>
      </w:r>
      <w:r>
        <w:t xml:space="preserve">creative) </w:t>
      </w:r>
      <w:r w:rsidRPr="00806CC8">
        <w:t>and explor</w:t>
      </w:r>
      <w:r>
        <w:t>e</w:t>
      </w:r>
      <w:r w:rsidRPr="00806CC8">
        <w:t xml:space="preserve"> different ways </w:t>
      </w:r>
      <w:r>
        <w:t>civilizations could have been more</w:t>
      </w:r>
      <w:r w:rsidRPr="00806CC8">
        <w:t xml:space="preserve"> creative</w:t>
      </w:r>
      <w:r>
        <w:t xml:space="preserve">. Second, each assignment or test requires students to generate a novel idea or object by applying or recombining ideas from the course in new ways. Moreover, students are required to </w:t>
      </w:r>
      <w:r w:rsidRPr="00806CC8">
        <w:t xml:space="preserve">explain why </w:t>
      </w:r>
      <w:r>
        <w:t xml:space="preserve">their ideas are novel. Third, a key element of the course includes the instructor’s insistence that everyone can be creative and examples </w:t>
      </w:r>
      <w:r w:rsidRPr="00806CC8">
        <w:t xml:space="preserve">of </w:t>
      </w:r>
      <w:r>
        <w:t>previous students’</w:t>
      </w:r>
      <w:r w:rsidRPr="00806CC8">
        <w:t xml:space="preserve"> creative projects </w:t>
      </w:r>
      <w:r>
        <w:t xml:space="preserve">are presented </w:t>
      </w:r>
      <w:r w:rsidRPr="00806CC8">
        <w:t>to spark ideas</w:t>
      </w:r>
      <w:r>
        <w:t xml:space="preserve">. Lastly, a great deal of one-on-one mentoring takes place to help students develop their ideas into </w:t>
      </w:r>
      <w:r w:rsidRPr="00806CC8">
        <w:t>creative project</w:t>
      </w:r>
      <w:r>
        <w:t>s</w:t>
      </w:r>
      <w:r w:rsidRPr="00806CC8">
        <w:t xml:space="preserve">. </w:t>
      </w:r>
    </w:p>
    <w:p w:rsidR="00AC7A0C" w:rsidRPr="00413416" w:rsidRDefault="00AC7A0C" w:rsidP="00AC7A0C">
      <w:r w:rsidRPr="00413416">
        <w:t>To evaluate whether students</w:t>
      </w:r>
      <w:r>
        <w:t>’ creativity improved</w:t>
      </w:r>
      <w:r w:rsidRPr="00413416">
        <w:t xml:space="preserve">, we </w:t>
      </w:r>
      <w:r>
        <w:t>implemented</w:t>
      </w:r>
      <w:r w:rsidRPr="00413416">
        <w:t xml:space="preserve"> a natural experiment research design. </w:t>
      </w:r>
      <w:r>
        <w:rPr>
          <w:rFonts w:asciiTheme="majorBidi" w:hAnsiTheme="majorBidi" w:cstheme="majorBidi"/>
        </w:rPr>
        <w:t xml:space="preserve">Advantages of an experimental design include minimizing the effects of potential confounding variables and increasing the internal validity of the study. </w:t>
      </w:r>
      <w:r>
        <w:t>The</w:t>
      </w:r>
      <w:r w:rsidRPr="00413416">
        <w:t xml:space="preserve"> experiment consist</w:t>
      </w:r>
      <w:r>
        <w:t>ed</w:t>
      </w:r>
      <w:r w:rsidRPr="00413416">
        <w:t xml:space="preserve"> of treatment and comparison groups who </w:t>
      </w:r>
      <w:r>
        <w:t>were</w:t>
      </w:r>
      <w:r w:rsidRPr="00413416">
        <w:t xml:space="preserve"> </w:t>
      </w:r>
      <w:r>
        <w:t>evaluated using</w:t>
      </w:r>
      <w:r w:rsidRPr="00413416">
        <w:t xml:space="preserve"> a pre</w:t>
      </w:r>
      <w:r>
        <w:t xml:space="preserve">test </w:t>
      </w:r>
      <w:r w:rsidRPr="00413416">
        <w:t xml:space="preserve">and </w:t>
      </w:r>
      <w:r>
        <w:t xml:space="preserve">a </w:t>
      </w:r>
      <w:r w:rsidRPr="00413416">
        <w:t>posttest (</w:t>
      </w:r>
      <w:proofErr w:type="spellStart"/>
      <w:r w:rsidRPr="00413416">
        <w:t>Shadish</w:t>
      </w:r>
      <w:proofErr w:type="spellEnd"/>
      <w:r w:rsidRPr="00413416">
        <w:t xml:space="preserve">, Cook, </w:t>
      </w:r>
      <w:r>
        <w:t>&amp;</w:t>
      </w:r>
      <w:r w:rsidRPr="00413416">
        <w:t xml:space="preserve"> Campbell, 2002). This study </w:t>
      </w:r>
      <w:r>
        <w:t xml:space="preserve">constitutes a natural (or quasi) </w:t>
      </w:r>
      <w:r w:rsidRPr="00413416">
        <w:t xml:space="preserve">experiment since the students were not randomly assigned to the treatment and comparison groups. </w:t>
      </w:r>
    </w:p>
    <w:p w:rsidR="00AC7A0C" w:rsidRPr="00413416" w:rsidRDefault="00AC7A0C" w:rsidP="00AC7A0C">
      <w:r w:rsidRPr="00413416">
        <w:t xml:space="preserve">The </w:t>
      </w:r>
      <w:r>
        <w:t xml:space="preserve">treatment group was composed of students enrolled in the History of Creativity Class. </w:t>
      </w:r>
      <w:r w:rsidRPr="00413416">
        <w:t xml:space="preserve">The students in the treatment group were volunteers from the class. </w:t>
      </w:r>
      <w:r>
        <w:t>The treatment group consisted of eight male and ten female students, each year in school or class was represented (three freshman, one sophomore, seven juniors, six seniors, and one graduate student), and students had a mean age of 23.2 years. A group of four students who were</w:t>
      </w:r>
      <w:r w:rsidRPr="00413416">
        <w:t xml:space="preserve"> not enrolled in the </w:t>
      </w:r>
      <w:r>
        <w:t>c</w:t>
      </w:r>
      <w:r w:rsidRPr="00413416">
        <w:t xml:space="preserve">lass </w:t>
      </w:r>
      <w:r>
        <w:t xml:space="preserve">constituted </w:t>
      </w:r>
      <w:r w:rsidRPr="00413416">
        <w:t>the comparison group. The comparison group was comp</w:t>
      </w:r>
      <w:r>
        <w:t>o</w:t>
      </w:r>
      <w:r w:rsidRPr="00413416">
        <w:t xml:space="preserve">sed of volunteers from the at-large university community who had never taken the </w:t>
      </w:r>
      <w:r>
        <w:t>c</w:t>
      </w:r>
      <w:r w:rsidRPr="00413416">
        <w:t xml:space="preserve">reativity class. </w:t>
      </w:r>
      <w:r>
        <w:t xml:space="preserve">The comparison group included three males and one female student, one student was a freshman while three students were seniors, and the mean age was 23.0 years. </w:t>
      </w:r>
      <w:r w:rsidRPr="00413416">
        <w:t xml:space="preserve">Both groups of students took Form A of the Torrance Test for Creative Thinking (TTCT) as a pretest in September 2009 and Form B </w:t>
      </w:r>
      <w:r>
        <w:t xml:space="preserve">of the TTCT </w:t>
      </w:r>
      <w:r w:rsidRPr="00413416">
        <w:t xml:space="preserve">as a posttest in December 2009. The students in the treatment group completed the </w:t>
      </w:r>
      <w:r>
        <w:t>c</w:t>
      </w:r>
      <w:r w:rsidRPr="00413416">
        <w:t xml:space="preserve">reativity </w:t>
      </w:r>
      <w:r>
        <w:t>c</w:t>
      </w:r>
      <w:r w:rsidRPr="00413416">
        <w:t>lass between the pre- and posttest</w:t>
      </w:r>
      <w:r>
        <w:t xml:space="preserve"> evaluation</w:t>
      </w:r>
      <w:r w:rsidRPr="00413416">
        <w:t xml:space="preserve">, while the students in the comparison group were unlikely to </w:t>
      </w:r>
      <w:r>
        <w:t xml:space="preserve">have </w:t>
      </w:r>
      <w:r w:rsidRPr="00413416">
        <w:t>receive</w:t>
      </w:r>
      <w:r>
        <w:t>d</w:t>
      </w:r>
      <w:r w:rsidRPr="00413416">
        <w:t xml:space="preserve"> any education or training that would influence their scores on the creativity test. </w:t>
      </w:r>
    </w:p>
    <w:p w:rsidR="00AC7A0C" w:rsidRDefault="00AC7A0C" w:rsidP="00AC7A0C">
      <w:r w:rsidRPr="00413416">
        <w:t xml:space="preserve">We collected data on student creativity by administering the figural version of the TTCT (Torrance 1974, 2008), and we </w:t>
      </w:r>
      <w:r>
        <w:t>compared</w:t>
      </w:r>
      <w:r w:rsidRPr="00413416">
        <w:t xml:space="preserve"> students’ scores from the beginning </w:t>
      </w:r>
      <w:r>
        <w:t>of the semester with students’ scores at the</w:t>
      </w:r>
      <w:r w:rsidRPr="00413416">
        <w:t xml:space="preserve"> end of the semester. The TTCT is the most widely used test </w:t>
      </w:r>
      <w:r>
        <w:t>for</w:t>
      </w:r>
      <w:r w:rsidRPr="00413416">
        <w:t xml:space="preserve"> creativity (</w:t>
      </w:r>
      <w:proofErr w:type="spellStart"/>
      <w:r w:rsidRPr="00413416">
        <w:t>Amabile</w:t>
      </w:r>
      <w:proofErr w:type="spellEnd"/>
      <w:r w:rsidRPr="00413416">
        <w:t xml:space="preserve">, 1996; Baer </w:t>
      </w:r>
      <w:r>
        <w:t>&amp;</w:t>
      </w:r>
      <w:r w:rsidRPr="00413416">
        <w:t xml:space="preserve"> Kaufman, 200</w:t>
      </w:r>
      <w:r>
        <w:t>6</w:t>
      </w:r>
      <w:r w:rsidRPr="00413416">
        <w:t>; Sawyer, 2012) and the TTCT pre- and posttest research design has been employed by a number of studies with reliable results (</w:t>
      </w:r>
      <w:proofErr w:type="spellStart"/>
      <w:r w:rsidRPr="00A6513F">
        <w:t>Ebrahim</w:t>
      </w:r>
      <w:proofErr w:type="spellEnd"/>
      <w:r w:rsidRPr="00A6513F">
        <w:t>, 2006; Torrance, 1981).</w:t>
      </w:r>
      <w:r w:rsidRPr="00413416">
        <w:t xml:space="preserve"> The figural version of the TTCT consists of a visual component that asks research participants to expand an existing picture, complete an existing picture, and alter a series of lines. The tests were administered by non-university personnel who were employed to administer and grade the exams. The personnel were trained in administering and evaluating the test by Torrance employees. The Torrance Creativity Index is calculated as part of the </w:t>
      </w:r>
      <w:r>
        <w:t xml:space="preserve">exam </w:t>
      </w:r>
      <w:r w:rsidRPr="00413416">
        <w:t>scoring</w:t>
      </w:r>
      <w:r>
        <w:t xml:space="preserve"> </w:t>
      </w:r>
      <w:r w:rsidRPr="00413416">
        <w:t>for the pre</w:t>
      </w:r>
      <w:r>
        <w:t>-</w:t>
      </w:r>
      <w:r w:rsidRPr="00413416">
        <w:t xml:space="preserve"> and posttests. We examined </w:t>
      </w:r>
      <w:r>
        <w:t xml:space="preserve">how </w:t>
      </w:r>
      <w:r w:rsidRPr="00413416">
        <w:t>the Creativity Index changed between the pre</w:t>
      </w:r>
      <w:r>
        <w:t>-</w:t>
      </w:r>
      <w:r w:rsidRPr="00413416">
        <w:t xml:space="preserve"> and posttest</w:t>
      </w:r>
      <w:r>
        <w:t>s,</w:t>
      </w:r>
      <w:r w:rsidRPr="00413416">
        <w:t xml:space="preserve"> and compared the results for the treatment and comparison groups. </w:t>
      </w:r>
    </w:p>
    <w:p w:rsidR="00AC7A0C" w:rsidRPr="00413416" w:rsidRDefault="00AC7A0C" w:rsidP="00AC7A0C">
      <w:pPr>
        <w:pStyle w:val="Heading3"/>
      </w:pPr>
      <w:r w:rsidRPr="00413416">
        <w:t>Results</w:t>
      </w:r>
    </w:p>
    <w:p w:rsidR="00AC7A0C" w:rsidRPr="00413416" w:rsidRDefault="00AC7A0C" w:rsidP="00AC7A0C">
      <w:r w:rsidRPr="00413416">
        <w:t xml:space="preserve">To assess the extent to which student participation in the </w:t>
      </w:r>
      <w:r>
        <w:t>c</w:t>
      </w:r>
      <w:r w:rsidRPr="00413416">
        <w:t xml:space="preserve">reativity </w:t>
      </w:r>
      <w:r>
        <w:t>c</w:t>
      </w:r>
      <w:r w:rsidRPr="00413416">
        <w:t xml:space="preserve">lass </w:t>
      </w:r>
      <w:r>
        <w:t>was</w:t>
      </w:r>
      <w:r w:rsidRPr="00413416">
        <w:t xml:space="preserve"> associated with increases in student creativity, we examine</w:t>
      </w:r>
      <w:r>
        <w:t>d</w:t>
      </w:r>
      <w:r w:rsidRPr="00413416">
        <w:t xml:space="preserve"> and compare</w:t>
      </w:r>
      <w:r>
        <w:t>d</w:t>
      </w:r>
      <w:r w:rsidRPr="00413416">
        <w:t xml:space="preserve"> TTCT scores for students in the Creativity Class (treatment group) </w:t>
      </w:r>
      <w:r>
        <w:t>with scores from</w:t>
      </w:r>
      <w:r w:rsidRPr="00413416">
        <w:t xml:space="preserve"> the comparison group. First, we</w:t>
      </w:r>
      <w:r>
        <w:t xml:space="preserve"> will</w:t>
      </w:r>
      <w:r w:rsidRPr="00413416">
        <w:t xml:space="preserve"> report the TTCT pretest and posttest </w:t>
      </w:r>
      <w:r>
        <w:t xml:space="preserve">scores </w:t>
      </w:r>
      <w:r w:rsidRPr="00413416">
        <w:t xml:space="preserve">and discuss differences between the two groups. Second, we </w:t>
      </w:r>
      <w:r>
        <w:t xml:space="preserve">will </w:t>
      </w:r>
      <w:r w:rsidRPr="00413416">
        <w:t>evaluate the change in scores between the pre</w:t>
      </w:r>
      <w:r>
        <w:t>-</w:t>
      </w:r>
      <w:r w:rsidRPr="00413416">
        <w:t xml:space="preserve"> and post</w:t>
      </w:r>
      <w:r>
        <w:t>-</w:t>
      </w:r>
      <w:r w:rsidRPr="00413416">
        <w:t>test</w:t>
      </w:r>
      <w:r>
        <w:t>s</w:t>
      </w:r>
      <w:r w:rsidRPr="00413416">
        <w:t xml:space="preserve"> for each group. </w:t>
      </w:r>
    </w:p>
    <w:p w:rsidR="00AC7A0C" w:rsidRDefault="00AC7A0C" w:rsidP="00AC7A0C">
      <w:r w:rsidRPr="00413416">
        <w:t xml:space="preserve">Results of the pretest are reported in Table 1. The mean </w:t>
      </w:r>
      <w:r>
        <w:t xml:space="preserve">score </w:t>
      </w:r>
      <w:r w:rsidRPr="00413416">
        <w:t>for students in the Creativity Class is 134. This score places students in the Creativity Class in the 9</w:t>
      </w:r>
      <w:r>
        <w:t>9</w:t>
      </w:r>
      <w:r w:rsidRPr="00C173D5">
        <w:t>th</w:t>
      </w:r>
      <w:r w:rsidRPr="00413416">
        <w:t xml:space="preserve"> percentile compared with the national norm for individuals of a similar age (Torrance, 2008</w:t>
      </w:r>
      <w:r>
        <w:t>, p.</w:t>
      </w:r>
      <w:r w:rsidRPr="00413416">
        <w:t xml:space="preserve"> 33). The mean </w:t>
      </w:r>
      <w:r>
        <w:t xml:space="preserve">score </w:t>
      </w:r>
      <w:r w:rsidRPr="00413416">
        <w:t>for the comparison group is 120. This score represents the 95</w:t>
      </w:r>
      <w:r w:rsidRPr="00C173D5">
        <w:t>th</w:t>
      </w:r>
      <w:r w:rsidRPr="00413416">
        <w:t xml:space="preserve"> percentile </w:t>
      </w:r>
      <w:r>
        <w:t xml:space="preserve">as </w:t>
      </w:r>
      <w:r w:rsidRPr="00413416">
        <w:t xml:space="preserve">compared with the national </w:t>
      </w:r>
      <w:r>
        <w:t>average</w:t>
      </w:r>
      <w:r w:rsidRPr="00413416">
        <w:t xml:space="preserve"> (Torrance, 2008</w:t>
      </w:r>
      <w:r>
        <w:t>, p.</w:t>
      </w:r>
      <w:r w:rsidRPr="00413416">
        <w:t xml:space="preserve"> 33). Students in the sample are considerably more creative than the national average as measure</w:t>
      </w:r>
      <w:r>
        <w:t>d</w:t>
      </w:r>
      <w:r w:rsidRPr="00413416">
        <w:t xml:space="preserve"> by the TTCT. This finding is relatively unsurprising</w:t>
      </w:r>
      <w:r>
        <w:t xml:space="preserve"> since our sample is more educated than those in the same age group from which the national percentile was developed. Creativity research finds a direct link between </w:t>
      </w:r>
      <w:r w:rsidRPr="00413416">
        <w:t xml:space="preserve">creativity and </w:t>
      </w:r>
      <w:r>
        <w:t xml:space="preserve">education </w:t>
      </w:r>
      <w:r w:rsidRPr="00413416">
        <w:t xml:space="preserve">(Ai, 1999; </w:t>
      </w:r>
      <w:proofErr w:type="spellStart"/>
      <w:r w:rsidRPr="00413416">
        <w:t>Naderi</w:t>
      </w:r>
      <w:proofErr w:type="spellEnd"/>
      <w:r w:rsidRPr="00413416">
        <w:t xml:space="preserve">, </w:t>
      </w:r>
      <w:r w:rsidRPr="00413416">
        <w:rPr>
          <w:color w:val="222222"/>
        </w:rPr>
        <w:t xml:space="preserve">Abdullah, </w:t>
      </w:r>
      <w:proofErr w:type="spellStart"/>
      <w:r w:rsidRPr="00413416">
        <w:rPr>
          <w:color w:val="222222"/>
        </w:rPr>
        <w:t>Aizan</w:t>
      </w:r>
      <w:proofErr w:type="spellEnd"/>
      <w:r w:rsidRPr="00413416">
        <w:rPr>
          <w:color w:val="222222"/>
        </w:rPr>
        <w:t xml:space="preserve">, </w:t>
      </w:r>
      <w:proofErr w:type="spellStart"/>
      <w:r w:rsidRPr="00413416">
        <w:rPr>
          <w:color w:val="222222"/>
        </w:rPr>
        <w:t>Sharir</w:t>
      </w:r>
      <w:proofErr w:type="spellEnd"/>
      <w:r w:rsidRPr="00413416">
        <w:rPr>
          <w:color w:val="222222"/>
        </w:rPr>
        <w:t>, &amp; Kumar,</w:t>
      </w:r>
      <w:r w:rsidRPr="00413416">
        <w:t xml:space="preserve"> 2010)</w:t>
      </w:r>
      <w:r>
        <w:t>.</w:t>
      </w:r>
    </w:p>
    <w:tbl>
      <w:tblPr>
        <w:tblW w:w="8588" w:type="dxa"/>
        <w:tblLook w:val="04A0" w:firstRow="1" w:lastRow="0" w:firstColumn="1" w:lastColumn="0" w:noHBand="0" w:noVBand="1"/>
      </w:tblPr>
      <w:tblGrid>
        <w:gridCol w:w="2130"/>
        <w:gridCol w:w="1058"/>
        <w:gridCol w:w="1080"/>
        <w:gridCol w:w="1080"/>
        <w:gridCol w:w="1080"/>
        <w:gridCol w:w="1080"/>
        <w:gridCol w:w="1080"/>
      </w:tblGrid>
      <w:tr w:rsidR="00AC7A0C" w:rsidRPr="00413416" w:rsidTr="00AC7A0C">
        <w:tc>
          <w:tcPr>
            <w:tcW w:w="8588" w:type="dxa"/>
            <w:gridSpan w:val="7"/>
            <w:tcBorders>
              <w:bottom w:val="single" w:sz="4" w:space="0" w:color="auto"/>
            </w:tcBorders>
            <w:shd w:val="clear" w:color="auto" w:fill="auto"/>
          </w:tcPr>
          <w:p w:rsidR="00AC7A0C" w:rsidRPr="00401B0A" w:rsidRDefault="00AC7A0C" w:rsidP="00AC7A0C">
            <w:pPr>
              <w:pStyle w:val="Heading5"/>
            </w:pPr>
            <w:r w:rsidRPr="00401B0A">
              <w:t>Table 1</w:t>
            </w:r>
          </w:p>
          <w:p w:rsidR="00AC7A0C" w:rsidRPr="004036D4" w:rsidRDefault="00AC7A0C" w:rsidP="00AC7A0C">
            <w:pPr>
              <w:pStyle w:val="Heading5"/>
              <w:rPr>
                <w:i/>
              </w:rPr>
            </w:pPr>
            <w:r w:rsidRPr="00401B0A">
              <w:rPr>
                <w:i/>
              </w:rPr>
              <w:t>Pre-test Torrance Creativity Index</w:t>
            </w:r>
          </w:p>
        </w:tc>
      </w:tr>
      <w:tr w:rsidR="00AC7A0C" w:rsidRPr="00413416" w:rsidTr="00AC7A0C">
        <w:tc>
          <w:tcPr>
            <w:tcW w:w="2130" w:type="dxa"/>
            <w:tcBorders>
              <w:top w:val="single" w:sz="4" w:space="0" w:color="auto"/>
              <w:bottom w:val="single" w:sz="4" w:space="0" w:color="auto"/>
            </w:tcBorders>
            <w:shd w:val="clear" w:color="auto" w:fill="auto"/>
          </w:tcPr>
          <w:p w:rsidR="00AC7A0C" w:rsidRPr="00413416" w:rsidRDefault="00AC7A0C" w:rsidP="00AC7A0C"/>
        </w:tc>
        <w:tc>
          <w:tcPr>
            <w:tcW w:w="1058" w:type="dxa"/>
            <w:tcBorders>
              <w:top w:val="single" w:sz="4" w:space="0" w:color="auto"/>
              <w:bottom w:val="single" w:sz="4" w:space="0" w:color="auto"/>
            </w:tcBorders>
            <w:shd w:val="clear" w:color="auto" w:fill="auto"/>
            <w:vAlign w:val="bottom"/>
          </w:tcPr>
          <w:p w:rsidR="00AC7A0C" w:rsidRPr="00413416" w:rsidRDefault="00AC7A0C" w:rsidP="00AC7A0C">
            <w:pPr>
              <w:jc w:val="center"/>
            </w:pPr>
            <w:r w:rsidRPr="00413416">
              <w:t>Min</w:t>
            </w:r>
          </w:p>
        </w:tc>
        <w:tc>
          <w:tcPr>
            <w:tcW w:w="1080" w:type="dxa"/>
            <w:tcBorders>
              <w:top w:val="single" w:sz="4" w:space="0" w:color="auto"/>
              <w:bottom w:val="single" w:sz="4" w:space="0" w:color="auto"/>
            </w:tcBorders>
            <w:shd w:val="clear" w:color="auto" w:fill="auto"/>
            <w:vAlign w:val="bottom"/>
          </w:tcPr>
          <w:p w:rsidR="00AC7A0C" w:rsidRPr="00413416" w:rsidRDefault="00AC7A0C" w:rsidP="00AC7A0C">
            <w:pPr>
              <w:jc w:val="center"/>
            </w:pPr>
            <w:r w:rsidRPr="00413416">
              <w:t>Q</w:t>
            </w:r>
            <w:r w:rsidRPr="00413416">
              <w:rPr>
                <w:vertAlign w:val="subscript"/>
              </w:rPr>
              <w:t>1</w:t>
            </w:r>
          </w:p>
        </w:tc>
        <w:tc>
          <w:tcPr>
            <w:tcW w:w="1080" w:type="dxa"/>
            <w:tcBorders>
              <w:top w:val="single" w:sz="4" w:space="0" w:color="auto"/>
              <w:bottom w:val="single" w:sz="4" w:space="0" w:color="auto"/>
            </w:tcBorders>
            <w:shd w:val="clear" w:color="auto" w:fill="auto"/>
            <w:vAlign w:val="bottom"/>
          </w:tcPr>
          <w:p w:rsidR="00AC7A0C" w:rsidRPr="00413416" w:rsidRDefault="00AC7A0C" w:rsidP="00AC7A0C">
            <w:pPr>
              <w:jc w:val="center"/>
            </w:pPr>
            <w:r w:rsidRPr="00413416">
              <w:t>Median</w:t>
            </w:r>
          </w:p>
        </w:tc>
        <w:tc>
          <w:tcPr>
            <w:tcW w:w="1080" w:type="dxa"/>
            <w:tcBorders>
              <w:top w:val="single" w:sz="4" w:space="0" w:color="auto"/>
              <w:bottom w:val="single" w:sz="4" w:space="0" w:color="auto"/>
            </w:tcBorders>
            <w:shd w:val="clear" w:color="auto" w:fill="auto"/>
            <w:vAlign w:val="bottom"/>
          </w:tcPr>
          <w:p w:rsidR="00AC7A0C" w:rsidRPr="00413416" w:rsidRDefault="00AC7A0C" w:rsidP="00AC7A0C">
            <w:pPr>
              <w:jc w:val="center"/>
            </w:pPr>
            <w:r w:rsidRPr="00413416">
              <w:t>Mean</w:t>
            </w:r>
          </w:p>
        </w:tc>
        <w:tc>
          <w:tcPr>
            <w:tcW w:w="1080" w:type="dxa"/>
            <w:tcBorders>
              <w:top w:val="single" w:sz="4" w:space="0" w:color="auto"/>
              <w:bottom w:val="single" w:sz="4" w:space="0" w:color="auto"/>
            </w:tcBorders>
            <w:shd w:val="clear" w:color="auto" w:fill="auto"/>
            <w:vAlign w:val="bottom"/>
          </w:tcPr>
          <w:p w:rsidR="00AC7A0C" w:rsidRPr="00413416" w:rsidRDefault="00AC7A0C" w:rsidP="00AC7A0C">
            <w:pPr>
              <w:jc w:val="center"/>
            </w:pPr>
            <w:r w:rsidRPr="00413416">
              <w:t>Q</w:t>
            </w:r>
            <w:r w:rsidRPr="00413416">
              <w:rPr>
                <w:vertAlign w:val="subscript"/>
              </w:rPr>
              <w:t>3</w:t>
            </w:r>
          </w:p>
        </w:tc>
        <w:tc>
          <w:tcPr>
            <w:tcW w:w="1080" w:type="dxa"/>
            <w:tcBorders>
              <w:top w:val="single" w:sz="4" w:space="0" w:color="auto"/>
              <w:bottom w:val="single" w:sz="4" w:space="0" w:color="auto"/>
            </w:tcBorders>
            <w:shd w:val="clear" w:color="auto" w:fill="auto"/>
            <w:vAlign w:val="bottom"/>
          </w:tcPr>
          <w:p w:rsidR="00AC7A0C" w:rsidRPr="00413416" w:rsidRDefault="00AC7A0C" w:rsidP="00AC7A0C">
            <w:pPr>
              <w:jc w:val="center"/>
            </w:pPr>
            <w:r w:rsidRPr="00413416">
              <w:t>Max</w:t>
            </w:r>
          </w:p>
        </w:tc>
      </w:tr>
      <w:tr w:rsidR="00AC7A0C" w:rsidRPr="00413416" w:rsidTr="00AC7A0C">
        <w:trPr>
          <w:trHeight w:val="566"/>
        </w:trPr>
        <w:tc>
          <w:tcPr>
            <w:tcW w:w="2130" w:type="dxa"/>
            <w:tcBorders>
              <w:top w:val="single" w:sz="4" w:space="0" w:color="auto"/>
            </w:tcBorders>
            <w:shd w:val="clear" w:color="auto" w:fill="auto"/>
            <w:vAlign w:val="center"/>
          </w:tcPr>
          <w:p w:rsidR="00AC7A0C" w:rsidRPr="00413416" w:rsidRDefault="00AC7A0C" w:rsidP="00AC7A0C">
            <w:r w:rsidRPr="00413416">
              <w:t>Comparison group</w:t>
            </w:r>
          </w:p>
        </w:tc>
        <w:tc>
          <w:tcPr>
            <w:tcW w:w="1058" w:type="dxa"/>
            <w:tcBorders>
              <w:top w:val="single" w:sz="4" w:space="0" w:color="auto"/>
            </w:tcBorders>
            <w:shd w:val="clear" w:color="auto" w:fill="auto"/>
            <w:vAlign w:val="center"/>
          </w:tcPr>
          <w:p w:rsidR="00AC7A0C" w:rsidRPr="00413416" w:rsidRDefault="00AC7A0C" w:rsidP="00AC7A0C">
            <w:pPr>
              <w:jc w:val="center"/>
            </w:pPr>
            <w:r w:rsidRPr="00413416">
              <w:t>112.0</w:t>
            </w:r>
          </w:p>
        </w:tc>
        <w:tc>
          <w:tcPr>
            <w:tcW w:w="1080" w:type="dxa"/>
            <w:tcBorders>
              <w:top w:val="single" w:sz="4" w:space="0" w:color="auto"/>
            </w:tcBorders>
            <w:shd w:val="clear" w:color="auto" w:fill="auto"/>
            <w:vAlign w:val="center"/>
          </w:tcPr>
          <w:p w:rsidR="00AC7A0C" w:rsidRPr="00413416" w:rsidRDefault="00AC7A0C" w:rsidP="00AC7A0C">
            <w:pPr>
              <w:jc w:val="center"/>
            </w:pPr>
            <w:r w:rsidRPr="00413416">
              <w:t>114.2</w:t>
            </w:r>
          </w:p>
        </w:tc>
        <w:tc>
          <w:tcPr>
            <w:tcW w:w="1080" w:type="dxa"/>
            <w:tcBorders>
              <w:top w:val="single" w:sz="4" w:space="0" w:color="auto"/>
            </w:tcBorders>
            <w:shd w:val="clear" w:color="auto" w:fill="auto"/>
            <w:vAlign w:val="center"/>
          </w:tcPr>
          <w:p w:rsidR="00AC7A0C" w:rsidRPr="00413416" w:rsidRDefault="00AC7A0C" w:rsidP="00AC7A0C">
            <w:pPr>
              <w:jc w:val="center"/>
            </w:pPr>
            <w:r w:rsidRPr="00413416">
              <w:t>120.0</w:t>
            </w:r>
          </w:p>
        </w:tc>
        <w:tc>
          <w:tcPr>
            <w:tcW w:w="1080" w:type="dxa"/>
            <w:tcBorders>
              <w:top w:val="single" w:sz="4" w:space="0" w:color="auto"/>
            </w:tcBorders>
            <w:shd w:val="clear" w:color="auto" w:fill="auto"/>
            <w:vAlign w:val="center"/>
          </w:tcPr>
          <w:p w:rsidR="00AC7A0C" w:rsidRPr="00413416" w:rsidRDefault="00AC7A0C" w:rsidP="00AC7A0C">
            <w:pPr>
              <w:jc w:val="center"/>
            </w:pPr>
            <w:r w:rsidRPr="00413416">
              <w:t>120.2</w:t>
            </w:r>
          </w:p>
        </w:tc>
        <w:tc>
          <w:tcPr>
            <w:tcW w:w="1080" w:type="dxa"/>
            <w:tcBorders>
              <w:top w:val="single" w:sz="4" w:space="0" w:color="auto"/>
            </w:tcBorders>
            <w:shd w:val="clear" w:color="auto" w:fill="auto"/>
            <w:vAlign w:val="center"/>
          </w:tcPr>
          <w:p w:rsidR="00AC7A0C" w:rsidRPr="00413416" w:rsidRDefault="00AC7A0C" w:rsidP="00AC7A0C">
            <w:pPr>
              <w:jc w:val="center"/>
            </w:pPr>
            <w:r w:rsidRPr="00413416">
              <w:t>126.0</w:t>
            </w:r>
          </w:p>
        </w:tc>
        <w:tc>
          <w:tcPr>
            <w:tcW w:w="1080" w:type="dxa"/>
            <w:tcBorders>
              <w:top w:val="single" w:sz="4" w:space="0" w:color="auto"/>
            </w:tcBorders>
            <w:shd w:val="clear" w:color="auto" w:fill="auto"/>
            <w:vAlign w:val="center"/>
          </w:tcPr>
          <w:p w:rsidR="00AC7A0C" w:rsidRPr="00413416" w:rsidRDefault="00AC7A0C" w:rsidP="00AC7A0C">
            <w:pPr>
              <w:jc w:val="center"/>
            </w:pPr>
            <w:r w:rsidRPr="00413416">
              <w:t>129.0</w:t>
            </w:r>
          </w:p>
        </w:tc>
      </w:tr>
      <w:tr w:rsidR="00AC7A0C" w:rsidRPr="00413416" w:rsidTr="00AC7A0C">
        <w:trPr>
          <w:trHeight w:val="620"/>
        </w:trPr>
        <w:tc>
          <w:tcPr>
            <w:tcW w:w="2130" w:type="dxa"/>
            <w:tcBorders>
              <w:bottom w:val="single" w:sz="4" w:space="0" w:color="auto"/>
            </w:tcBorders>
            <w:shd w:val="clear" w:color="auto" w:fill="auto"/>
            <w:vAlign w:val="center"/>
          </w:tcPr>
          <w:p w:rsidR="00AC7A0C" w:rsidRPr="00413416" w:rsidRDefault="00AC7A0C" w:rsidP="00AC7A0C">
            <w:r w:rsidRPr="00413416">
              <w:t>Creativity Class</w:t>
            </w:r>
          </w:p>
        </w:tc>
        <w:tc>
          <w:tcPr>
            <w:tcW w:w="1058" w:type="dxa"/>
            <w:tcBorders>
              <w:bottom w:val="single" w:sz="4" w:space="0" w:color="auto"/>
            </w:tcBorders>
            <w:shd w:val="clear" w:color="auto" w:fill="auto"/>
            <w:vAlign w:val="center"/>
          </w:tcPr>
          <w:p w:rsidR="00AC7A0C" w:rsidRPr="00413416" w:rsidRDefault="00AC7A0C" w:rsidP="00AC7A0C">
            <w:pPr>
              <w:jc w:val="center"/>
            </w:pPr>
            <w:r w:rsidRPr="00413416">
              <w:t>107.0</w:t>
            </w:r>
          </w:p>
        </w:tc>
        <w:tc>
          <w:tcPr>
            <w:tcW w:w="1080" w:type="dxa"/>
            <w:tcBorders>
              <w:bottom w:val="single" w:sz="4" w:space="0" w:color="auto"/>
            </w:tcBorders>
            <w:shd w:val="clear" w:color="auto" w:fill="auto"/>
            <w:vAlign w:val="center"/>
          </w:tcPr>
          <w:p w:rsidR="00AC7A0C" w:rsidRPr="00413416" w:rsidRDefault="00AC7A0C" w:rsidP="00AC7A0C">
            <w:pPr>
              <w:jc w:val="center"/>
            </w:pPr>
            <w:r w:rsidRPr="00413416">
              <w:t>124.2</w:t>
            </w:r>
          </w:p>
        </w:tc>
        <w:tc>
          <w:tcPr>
            <w:tcW w:w="1080" w:type="dxa"/>
            <w:tcBorders>
              <w:bottom w:val="single" w:sz="4" w:space="0" w:color="auto"/>
            </w:tcBorders>
            <w:shd w:val="clear" w:color="auto" w:fill="auto"/>
            <w:vAlign w:val="center"/>
          </w:tcPr>
          <w:p w:rsidR="00AC7A0C" w:rsidRPr="00413416" w:rsidRDefault="00AC7A0C" w:rsidP="00AC7A0C">
            <w:pPr>
              <w:jc w:val="center"/>
            </w:pPr>
            <w:r w:rsidRPr="00413416">
              <w:t>136.0</w:t>
            </w:r>
          </w:p>
        </w:tc>
        <w:tc>
          <w:tcPr>
            <w:tcW w:w="1080" w:type="dxa"/>
            <w:tcBorders>
              <w:bottom w:val="single" w:sz="4" w:space="0" w:color="auto"/>
            </w:tcBorders>
            <w:shd w:val="clear" w:color="auto" w:fill="auto"/>
            <w:vAlign w:val="center"/>
          </w:tcPr>
          <w:p w:rsidR="00AC7A0C" w:rsidRPr="00413416" w:rsidRDefault="00AC7A0C" w:rsidP="00AC7A0C">
            <w:pPr>
              <w:jc w:val="center"/>
            </w:pPr>
            <w:r w:rsidRPr="00413416">
              <w:t>134.7</w:t>
            </w:r>
          </w:p>
        </w:tc>
        <w:tc>
          <w:tcPr>
            <w:tcW w:w="1080" w:type="dxa"/>
            <w:tcBorders>
              <w:bottom w:val="single" w:sz="4" w:space="0" w:color="auto"/>
            </w:tcBorders>
            <w:shd w:val="clear" w:color="auto" w:fill="auto"/>
            <w:vAlign w:val="center"/>
          </w:tcPr>
          <w:p w:rsidR="00AC7A0C" w:rsidRPr="00413416" w:rsidRDefault="00AC7A0C" w:rsidP="00AC7A0C">
            <w:pPr>
              <w:jc w:val="center"/>
            </w:pPr>
            <w:r w:rsidRPr="00413416">
              <w:t>142.2</w:t>
            </w:r>
          </w:p>
        </w:tc>
        <w:tc>
          <w:tcPr>
            <w:tcW w:w="1080" w:type="dxa"/>
            <w:tcBorders>
              <w:bottom w:val="single" w:sz="4" w:space="0" w:color="auto"/>
            </w:tcBorders>
            <w:shd w:val="clear" w:color="auto" w:fill="auto"/>
            <w:vAlign w:val="center"/>
          </w:tcPr>
          <w:p w:rsidR="00AC7A0C" w:rsidRPr="00413416" w:rsidRDefault="00AC7A0C" w:rsidP="00AC7A0C">
            <w:pPr>
              <w:jc w:val="center"/>
            </w:pPr>
            <w:r w:rsidRPr="00413416">
              <w:t>161.0</w:t>
            </w:r>
          </w:p>
        </w:tc>
      </w:tr>
    </w:tbl>
    <w:p w:rsidR="00AC7A0C" w:rsidRPr="00413416" w:rsidRDefault="00AC7A0C" w:rsidP="00AC7A0C">
      <w:r>
        <w:br/>
      </w:r>
      <w:r w:rsidRPr="00413416">
        <w:t xml:space="preserve">The </w:t>
      </w:r>
      <w:r w:rsidRPr="00D6049A">
        <w:t xml:space="preserve">highest score among students in the Creativity Class was 161 compared with a high score </w:t>
      </w:r>
      <w:r w:rsidRPr="00413416">
        <w:t>of 129 for the students in the comparison group. Moreover, students in the top quartile of the Creativity Class scored between 142 and 161 compared with students in the top quartile of the comparison group</w:t>
      </w:r>
      <w:r>
        <w:t>,</w:t>
      </w:r>
      <w:r w:rsidRPr="00413416">
        <w:t xml:space="preserve"> who scored between 126 and 129. This likely indicates a selection bias for the students in the Creativity Class. </w:t>
      </w:r>
      <w:r w:rsidRPr="00D6049A">
        <w:t>Students who are already more creative than average may be more likely to have enrolled in the Creativity Class.</w:t>
      </w:r>
      <w:r w:rsidRPr="00413416">
        <w:rPr>
          <w:color w:val="000000"/>
        </w:rPr>
        <w:t xml:space="preserve"> </w:t>
      </w:r>
      <w:r w:rsidRPr="00D44AB2">
        <w:t>Another implication based on these figures is that because these highly creative students already score well on the pre-test, there is little room for improvement on the post-test. In other words, it is difficult for these students to improve their scores significantly</w:t>
      </w:r>
      <w:r>
        <w:t xml:space="preserve">, making it </w:t>
      </w:r>
      <w:r w:rsidRPr="00413416">
        <w:t>difficult for these students to improve their score</w:t>
      </w:r>
      <w:r>
        <w:t>s</w:t>
      </w:r>
      <w:r w:rsidRPr="00413416">
        <w:t xml:space="preserve"> on the post-test. </w:t>
      </w:r>
    </w:p>
    <w:p w:rsidR="00AC7A0C" w:rsidRDefault="00AC7A0C" w:rsidP="00AC7A0C">
      <w:r>
        <w:t>Although the</w:t>
      </w:r>
      <w:r w:rsidRPr="00413416">
        <w:t xml:space="preserve"> </w:t>
      </w:r>
      <w:r>
        <w:t xml:space="preserve">data </w:t>
      </w:r>
      <w:r w:rsidRPr="00413416">
        <w:t>includ</w:t>
      </w:r>
      <w:r>
        <w:t>ed</w:t>
      </w:r>
      <w:r w:rsidRPr="00413416">
        <w:t xml:space="preserve"> students with high </w:t>
      </w:r>
      <w:r>
        <w:t xml:space="preserve">pretest </w:t>
      </w:r>
      <w:r w:rsidRPr="00413416">
        <w:t>scores on the Creativity Index</w:t>
      </w:r>
      <w:r>
        <w:t>,</w:t>
      </w:r>
      <w:r w:rsidRPr="00413416">
        <w:t xml:space="preserve"> the treatment group </w:t>
      </w:r>
      <w:r>
        <w:t xml:space="preserve">still </w:t>
      </w:r>
      <w:r w:rsidRPr="00413416">
        <w:t>experienced an 11.6 point increase in post</w:t>
      </w:r>
      <w:r>
        <w:t>-</w:t>
      </w:r>
      <w:r w:rsidRPr="00413416">
        <w:t>test scores compared with the</w:t>
      </w:r>
      <w:r>
        <w:t>ir</w:t>
      </w:r>
      <w:r w:rsidRPr="00413416">
        <w:t xml:space="preserve"> scores from the pretest</w:t>
      </w:r>
      <w:r>
        <w:t xml:space="preserve"> (see Table 2)</w:t>
      </w:r>
      <w:r w:rsidRPr="00413416">
        <w:t xml:space="preserve">. </w:t>
      </w:r>
      <w:r>
        <w:t>Alternatively, s</w:t>
      </w:r>
      <w:r w:rsidRPr="00413416">
        <w:t>tudents in the comparison group</w:t>
      </w:r>
      <w:r>
        <w:t xml:space="preserve"> </w:t>
      </w:r>
      <w:r w:rsidRPr="00413416">
        <w:t>scored an average of 0.8 points lower</w:t>
      </w:r>
      <w:r>
        <w:t xml:space="preserve"> </w:t>
      </w:r>
      <w:r w:rsidRPr="00D44AB2">
        <w:t>than their own scores on the pretest</w:t>
      </w:r>
      <w:r w:rsidRPr="00413416">
        <w:t xml:space="preserve">. There is a statistically significant difference in the change in the Creativity Index between the comparison group and the Creativity Class (t = 2.224, p-value = 0.0378). </w:t>
      </w:r>
      <w:r>
        <w:t xml:space="preserve">These results suggest that the instructional activities that are part of the creativity class have a significant impact on student creativity scores. </w:t>
      </w:r>
      <w:r w:rsidRPr="00413416">
        <w:t xml:space="preserve">Given the predisposition of some students in the </w:t>
      </w:r>
      <w:r>
        <w:t>C</w:t>
      </w:r>
      <w:r w:rsidRPr="00413416">
        <w:t xml:space="preserve">reativity </w:t>
      </w:r>
      <w:r>
        <w:t>C</w:t>
      </w:r>
      <w:r w:rsidRPr="00413416">
        <w:t>lass toward creativity as indicated by the high pre-test scores, it is all the more remarkable</w:t>
      </w:r>
      <w:r>
        <w:t xml:space="preserve"> that</w:t>
      </w:r>
      <w:r w:rsidRPr="00413416">
        <w:t xml:space="preserve"> the treatment group demonstrated a statistically significant increase in creativity compared to the comparison group. </w:t>
      </w:r>
    </w:p>
    <w:tbl>
      <w:tblPr>
        <w:tblW w:w="8588" w:type="dxa"/>
        <w:tblLook w:val="04A0" w:firstRow="1" w:lastRow="0" w:firstColumn="1" w:lastColumn="0" w:noHBand="0" w:noVBand="1"/>
      </w:tblPr>
      <w:tblGrid>
        <w:gridCol w:w="2130"/>
        <w:gridCol w:w="1058"/>
        <w:gridCol w:w="1080"/>
        <w:gridCol w:w="1080"/>
        <w:gridCol w:w="1080"/>
        <w:gridCol w:w="1080"/>
        <w:gridCol w:w="1080"/>
      </w:tblGrid>
      <w:tr w:rsidR="00AC7A0C" w:rsidRPr="00413416" w:rsidTr="00AC7A0C">
        <w:tc>
          <w:tcPr>
            <w:tcW w:w="8588" w:type="dxa"/>
            <w:gridSpan w:val="7"/>
            <w:tcBorders>
              <w:bottom w:val="single" w:sz="4" w:space="0" w:color="auto"/>
            </w:tcBorders>
            <w:shd w:val="clear" w:color="auto" w:fill="auto"/>
          </w:tcPr>
          <w:p w:rsidR="00AC7A0C" w:rsidRPr="00401B0A" w:rsidRDefault="00AC7A0C" w:rsidP="00AC7A0C">
            <w:pPr>
              <w:pStyle w:val="Heading5"/>
            </w:pPr>
            <w:r w:rsidRPr="00401B0A">
              <w:t>Table 2</w:t>
            </w:r>
          </w:p>
          <w:p w:rsidR="00AC7A0C" w:rsidRPr="004036D4" w:rsidRDefault="00AC7A0C" w:rsidP="00AC7A0C">
            <w:pPr>
              <w:pStyle w:val="Heading5"/>
              <w:rPr>
                <w:i/>
              </w:rPr>
            </w:pPr>
            <w:r w:rsidRPr="00401B0A">
              <w:t>Change in Torrance Creativity Index</w:t>
            </w:r>
          </w:p>
        </w:tc>
      </w:tr>
      <w:tr w:rsidR="00AC7A0C" w:rsidRPr="00413416" w:rsidTr="00AC7A0C">
        <w:tc>
          <w:tcPr>
            <w:tcW w:w="2130" w:type="dxa"/>
            <w:tcBorders>
              <w:top w:val="single" w:sz="4" w:space="0" w:color="auto"/>
              <w:bottom w:val="single" w:sz="4" w:space="0" w:color="auto"/>
            </w:tcBorders>
            <w:shd w:val="clear" w:color="auto" w:fill="auto"/>
          </w:tcPr>
          <w:p w:rsidR="00AC7A0C" w:rsidRPr="00413416" w:rsidRDefault="00AC7A0C" w:rsidP="00AC7A0C"/>
        </w:tc>
        <w:tc>
          <w:tcPr>
            <w:tcW w:w="1058" w:type="dxa"/>
            <w:tcBorders>
              <w:top w:val="single" w:sz="4" w:space="0" w:color="auto"/>
              <w:bottom w:val="single" w:sz="4" w:space="0" w:color="auto"/>
            </w:tcBorders>
            <w:shd w:val="clear" w:color="auto" w:fill="auto"/>
            <w:vAlign w:val="bottom"/>
          </w:tcPr>
          <w:p w:rsidR="00AC7A0C" w:rsidRPr="00413416" w:rsidRDefault="00AC7A0C" w:rsidP="00AC7A0C">
            <w:pPr>
              <w:jc w:val="center"/>
            </w:pPr>
            <w:r w:rsidRPr="00413416">
              <w:t>Min</w:t>
            </w:r>
          </w:p>
        </w:tc>
        <w:tc>
          <w:tcPr>
            <w:tcW w:w="1080" w:type="dxa"/>
            <w:tcBorders>
              <w:top w:val="single" w:sz="4" w:space="0" w:color="auto"/>
              <w:bottom w:val="single" w:sz="4" w:space="0" w:color="auto"/>
            </w:tcBorders>
            <w:shd w:val="clear" w:color="auto" w:fill="auto"/>
            <w:vAlign w:val="bottom"/>
          </w:tcPr>
          <w:p w:rsidR="00AC7A0C" w:rsidRPr="00413416" w:rsidRDefault="00AC7A0C" w:rsidP="00AC7A0C">
            <w:pPr>
              <w:jc w:val="center"/>
            </w:pPr>
            <w:r w:rsidRPr="00413416">
              <w:t>Q</w:t>
            </w:r>
            <w:r w:rsidRPr="00413416">
              <w:rPr>
                <w:vertAlign w:val="subscript"/>
              </w:rPr>
              <w:t>1</w:t>
            </w:r>
          </w:p>
        </w:tc>
        <w:tc>
          <w:tcPr>
            <w:tcW w:w="1080" w:type="dxa"/>
            <w:tcBorders>
              <w:top w:val="single" w:sz="4" w:space="0" w:color="auto"/>
              <w:bottom w:val="single" w:sz="4" w:space="0" w:color="auto"/>
            </w:tcBorders>
            <w:shd w:val="clear" w:color="auto" w:fill="auto"/>
            <w:vAlign w:val="bottom"/>
          </w:tcPr>
          <w:p w:rsidR="00AC7A0C" w:rsidRPr="00413416" w:rsidRDefault="00AC7A0C" w:rsidP="00AC7A0C">
            <w:pPr>
              <w:jc w:val="center"/>
            </w:pPr>
            <w:r w:rsidRPr="00413416">
              <w:t>Median</w:t>
            </w:r>
          </w:p>
        </w:tc>
        <w:tc>
          <w:tcPr>
            <w:tcW w:w="1080" w:type="dxa"/>
            <w:tcBorders>
              <w:top w:val="single" w:sz="4" w:space="0" w:color="auto"/>
              <w:bottom w:val="single" w:sz="4" w:space="0" w:color="auto"/>
            </w:tcBorders>
            <w:shd w:val="clear" w:color="auto" w:fill="auto"/>
            <w:vAlign w:val="bottom"/>
          </w:tcPr>
          <w:p w:rsidR="00AC7A0C" w:rsidRPr="00413416" w:rsidRDefault="00AC7A0C" w:rsidP="00AC7A0C">
            <w:pPr>
              <w:jc w:val="center"/>
            </w:pPr>
            <w:r w:rsidRPr="00413416">
              <w:t>Mean</w:t>
            </w:r>
          </w:p>
        </w:tc>
        <w:tc>
          <w:tcPr>
            <w:tcW w:w="1080" w:type="dxa"/>
            <w:tcBorders>
              <w:top w:val="single" w:sz="4" w:space="0" w:color="auto"/>
              <w:bottom w:val="single" w:sz="4" w:space="0" w:color="auto"/>
            </w:tcBorders>
            <w:shd w:val="clear" w:color="auto" w:fill="auto"/>
            <w:vAlign w:val="bottom"/>
          </w:tcPr>
          <w:p w:rsidR="00AC7A0C" w:rsidRPr="00413416" w:rsidRDefault="00AC7A0C" w:rsidP="00AC7A0C">
            <w:pPr>
              <w:jc w:val="center"/>
            </w:pPr>
            <w:r w:rsidRPr="00413416">
              <w:t>Q</w:t>
            </w:r>
            <w:r w:rsidRPr="00413416">
              <w:rPr>
                <w:vertAlign w:val="subscript"/>
              </w:rPr>
              <w:t>3</w:t>
            </w:r>
          </w:p>
        </w:tc>
        <w:tc>
          <w:tcPr>
            <w:tcW w:w="1080" w:type="dxa"/>
            <w:tcBorders>
              <w:top w:val="single" w:sz="4" w:space="0" w:color="auto"/>
              <w:bottom w:val="single" w:sz="4" w:space="0" w:color="auto"/>
            </w:tcBorders>
            <w:shd w:val="clear" w:color="auto" w:fill="auto"/>
            <w:vAlign w:val="bottom"/>
          </w:tcPr>
          <w:p w:rsidR="00AC7A0C" w:rsidRPr="00413416" w:rsidRDefault="00AC7A0C" w:rsidP="00AC7A0C">
            <w:pPr>
              <w:jc w:val="center"/>
            </w:pPr>
            <w:r w:rsidRPr="00413416">
              <w:t>Max</w:t>
            </w:r>
          </w:p>
        </w:tc>
      </w:tr>
      <w:tr w:rsidR="00AC7A0C" w:rsidRPr="00413416" w:rsidTr="00AC7A0C">
        <w:trPr>
          <w:trHeight w:val="566"/>
        </w:trPr>
        <w:tc>
          <w:tcPr>
            <w:tcW w:w="2130" w:type="dxa"/>
            <w:tcBorders>
              <w:top w:val="single" w:sz="4" w:space="0" w:color="auto"/>
            </w:tcBorders>
            <w:shd w:val="clear" w:color="auto" w:fill="auto"/>
            <w:vAlign w:val="center"/>
          </w:tcPr>
          <w:p w:rsidR="00AC7A0C" w:rsidRPr="00413416" w:rsidRDefault="00AC7A0C" w:rsidP="00AC7A0C">
            <w:r w:rsidRPr="00413416">
              <w:t>Comparison group</w:t>
            </w:r>
          </w:p>
        </w:tc>
        <w:tc>
          <w:tcPr>
            <w:tcW w:w="1058" w:type="dxa"/>
            <w:tcBorders>
              <w:top w:val="single" w:sz="4" w:space="0" w:color="auto"/>
            </w:tcBorders>
            <w:shd w:val="clear" w:color="auto" w:fill="auto"/>
            <w:vAlign w:val="center"/>
          </w:tcPr>
          <w:p w:rsidR="00AC7A0C" w:rsidRPr="00413416" w:rsidRDefault="00AC7A0C" w:rsidP="00AC7A0C">
            <w:pPr>
              <w:jc w:val="center"/>
            </w:pPr>
            <w:r w:rsidRPr="00413416">
              <w:t>-9.0</w:t>
            </w:r>
          </w:p>
        </w:tc>
        <w:tc>
          <w:tcPr>
            <w:tcW w:w="1080" w:type="dxa"/>
            <w:tcBorders>
              <w:top w:val="single" w:sz="4" w:space="0" w:color="auto"/>
            </w:tcBorders>
            <w:shd w:val="clear" w:color="auto" w:fill="auto"/>
            <w:vAlign w:val="center"/>
          </w:tcPr>
          <w:p w:rsidR="00AC7A0C" w:rsidRPr="00413416" w:rsidRDefault="00AC7A0C" w:rsidP="00AC7A0C">
            <w:pPr>
              <w:jc w:val="center"/>
            </w:pPr>
            <w:r w:rsidRPr="00413416">
              <w:t>-6.8</w:t>
            </w:r>
          </w:p>
        </w:tc>
        <w:tc>
          <w:tcPr>
            <w:tcW w:w="1080" w:type="dxa"/>
            <w:tcBorders>
              <w:top w:val="single" w:sz="4" w:space="0" w:color="auto"/>
            </w:tcBorders>
            <w:shd w:val="clear" w:color="auto" w:fill="auto"/>
            <w:vAlign w:val="center"/>
          </w:tcPr>
          <w:p w:rsidR="00AC7A0C" w:rsidRPr="00413416" w:rsidRDefault="00AC7A0C" w:rsidP="00AC7A0C">
            <w:pPr>
              <w:jc w:val="center"/>
            </w:pPr>
            <w:r w:rsidRPr="00413416">
              <w:t>-2.5</w:t>
            </w:r>
          </w:p>
        </w:tc>
        <w:tc>
          <w:tcPr>
            <w:tcW w:w="1080" w:type="dxa"/>
            <w:tcBorders>
              <w:top w:val="single" w:sz="4" w:space="0" w:color="auto"/>
            </w:tcBorders>
            <w:shd w:val="clear" w:color="auto" w:fill="auto"/>
            <w:vAlign w:val="center"/>
          </w:tcPr>
          <w:p w:rsidR="00AC7A0C" w:rsidRPr="00413416" w:rsidRDefault="00AC7A0C" w:rsidP="00AC7A0C">
            <w:pPr>
              <w:jc w:val="center"/>
            </w:pPr>
            <w:r w:rsidRPr="00413416">
              <w:t>-0.8</w:t>
            </w:r>
          </w:p>
        </w:tc>
        <w:tc>
          <w:tcPr>
            <w:tcW w:w="1080" w:type="dxa"/>
            <w:tcBorders>
              <w:top w:val="single" w:sz="4" w:space="0" w:color="auto"/>
            </w:tcBorders>
            <w:shd w:val="clear" w:color="auto" w:fill="auto"/>
            <w:vAlign w:val="center"/>
          </w:tcPr>
          <w:p w:rsidR="00AC7A0C" w:rsidRPr="00413416" w:rsidRDefault="00AC7A0C" w:rsidP="00AC7A0C">
            <w:pPr>
              <w:jc w:val="center"/>
            </w:pPr>
            <w:r w:rsidRPr="00413416">
              <w:t>3.5</w:t>
            </w:r>
          </w:p>
        </w:tc>
        <w:tc>
          <w:tcPr>
            <w:tcW w:w="1080" w:type="dxa"/>
            <w:tcBorders>
              <w:top w:val="single" w:sz="4" w:space="0" w:color="auto"/>
            </w:tcBorders>
            <w:shd w:val="clear" w:color="auto" w:fill="auto"/>
            <w:vAlign w:val="center"/>
          </w:tcPr>
          <w:p w:rsidR="00AC7A0C" w:rsidRPr="00413416" w:rsidRDefault="00AC7A0C" w:rsidP="00AC7A0C">
            <w:pPr>
              <w:jc w:val="center"/>
            </w:pPr>
            <w:r w:rsidRPr="00413416">
              <w:t>11.0</w:t>
            </w:r>
          </w:p>
        </w:tc>
      </w:tr>
      <w:tr w:rsidR="00AC7A0C" w:rsidRPr="00413416" w:rsidTr="00AC7A0C">
        <w:trPr>
          <w:trHeight w:val="620"/>
        </w:trPr>
        <w:tc>
          <w:tcPr>
            <w:tcW w:w="2130" w:type="dxa"/>
            <w:tcBorders>
              <w:bottom w:val="single" w:sz="4" w:space="0" w:color="auto"/>
            </w:tcBorders>
            <w:shd w:val="clear" w:color="auto" w:fill="auto"/>
            <w:vAlign w:val="center"/>
          </w:tcPr>
          <w:p w:rsidR="00AC7A0C" w:rsidRPr="00413416" w:rsidRDefault="00AC7A0C" w:rsidP="00AC7A0C">
            <w:r w:rsidRPr="00413416">
              <w:t>Creativity Class</w:t>
            </w:r>
          </w:p>
        </w:tc>
        <w:tc>
          <w:tcPr>
            <w:tcW w:w="1058" w:type="dxa"/>
            <w:tcBorders>
              <w:bottom w:val="single" w:sz="4" w:space="0" w:color="auto"/>
            </w:tcBorders>
            <w:shd w:val="clear" w:color="auto" w:fill="auto"/>
            <w:vAlign w:val="center"/>
          </w:tcPr>
          <w:p w:rsidR="00AC7A0C" w:rsidRPr="00413416" w:rsidRDefault="00AC7A0C" w:rsidP="00AC7A0C">
            <w:pPr>
              <w:jc w:val="center"/>
            </w:pPr>
            <w:r w:rsidRPr="00413416">
              <w:t>-4.0</w:t>
            </w:r>
          </w:p>
        </w:tc>
        <w:tc>
          <w:tcPr>
            <w:tcW w:w="1080" w:type="dxa"/>
            <w:tcBorders>
              <w:bottom w:val="single" w:sz="4" w:space="0" w:color="auto"/>
            </w:tcBorders>
            <w:shd w:val="clear" w:color="auto" w:fill="auto"/>
            <w:vAlign w:val="center"/>
          </w:tcPr>
          <w:p w:rsidR="00AC7A0C" w:rsidRPr="00413416" w:rsidRDefault="00AC7A0C" w:rsidP="00AC7A0C">
            <w:pPr>
              <w:jc w:val="center"/>
            </w:pPr>
            <w:r w:rsidRPr="00413416">
              <w:t>2.3</w:t>
            </w:r>
          </w:p>
        </w:tc>
        <w:tc>
          <w:tcPr>
            <w:tcW w:w="1080" w:type="dxa"/>
            <w:tcBorders>
              <w:bottom w:val="single" w:sz="4" w:space="0" w:color="auto"/>
            </w:tcBorders>
            <w:shd w:val="clear" w:color="auto" w:fill="auto"/>
            <w:vAlign w:val="center"/>
          </w:tcPr>
          <w:p w:rsidR="00AC7A0C" w:rsidRPr="00413416" w:rsidRDefault="00AC7A0C" w:rsidP="00AC7A0C">
            <w:pPr>
              <w:jc w:val="center"/>
            </w:pPr>
            <w:r w:rsidRPr="00413416">
              <w:t>11.5</w:t>
            </w:r>
          </w:p>
        </w:tc>
        <w:tc>
          <w:tcPr>
            <w:tcW w:w="1080" w:type="dxa"/>
            <w:tcBorders>
              <w:bottom w:val="single" w:sz="4" w:space="0" w:color="auto"/>
            </w:tcBorders>
            <w:shd w:val="clear" w:color="auto" w:fill="auto"/>
            <w:vAlign w:val="center"/>
          </w:tcPr>
          <w:p w:rsidR="00AC7A0C" w:rsidRPr="00413416" w:rsidRDefault="00AC7A0C" w:rsidP="00AC7A0C">
            <w:pPr>
              <w:jc w:val="center"/>
            </w:pPr>
            <w:r w:rsidRPr="00413416">
              <w:t>11.6</w:t>
            </w:r>
          </w:p>
        </w:tc>
        <w:tc>
          <w:tcPr>
            <w:tcW w:w="1080" w:type="dxa"/>
            <w:tcBorders>
              <w:bottom w:val="single" w:sz="4" w:space="0" w:color="auto"/>
            </w:tcBorders>
            <w:shd w:val="clear" w:color="auto" w:fill="auto"/>
            <w:vAlign w:val="center"/>
          </w:tcPr>
          <w:p w:rsidR="00AC7A0C" w:rsidRPr="00413416" w:rsidRDefault="00AC7A0C" w:rsidP="00AC7A0C">
            <w:pPr>
              <w:jc w:val="center"/>
            </w:pPr>
            <w:r w:rsidRPr="00413416">
              <w:t>17.8</w:t>
            </w:r>
          </w:p>
        </w:tc>
        <w:tc>
          <w:tcPr>
            <w:tcW w:w="1080" w:type="dxa"/>
            <w:tcBorders>
              <w:bottom w:val="single" w:sz="4" w:space="0" w:color="auto"/>
            </w:tcBorders>
            <w:shd w:val="clear" w:color="auto" w:fill="auto"/>
            <w:vAlign w:val="center"/>
          </w:tcPr>
          <w:p w:rsidR="00AC7A0C" w:rsidRPr="00413416" w:rsidRDefault="00AC7A0C" w:rsidP="00AC7A0C">
            <w:pPr>
              <w:jc w:val="center"/>
            </w:pPr>
            <w:r w:rsidRPr="00413416">
              <w:t>30.0</w:t>
            </w:r>
          </w:p>
        </w:tc>
      </w:tr>
    </w:tbl>
    <w:p w:rsidR="00AC7A0C" w:rsidRPr="00413416" w:rsidRDefault="00AC7A0C" w:rsidP="00AC7A0C">
      <w:pPr>
        <w:pStyle w:val="Heading3"/>
      </w:pPr>
      <w:r w:rsidRPr="00413416">
        <w:t>Conclusion</w:t>
      </w:r>
    </w:p>
    <w:p w:rsidR="00AC7A0C" w:rsidRPr="00413416" w:rsidRDefault="00AC7A0C" w:rsidP="00AC7A0C">
      <w:r w:rsidRPr="00413416">
        <w:t>Can individuals learn to be more creative? Traditionally, the prevailing notion has been that creativity is a fixed individual trait or attribute that could not be improved. While there is still much debate, this view is being challenged</w:t>
      </w:r>
      <w:r>
        <w:t>,</w:t>
      </w:r>
      <w:r w:rsidRPr="00413416">
        <w:t xml:space="preserve"> and </w:t>
      </w:r>
      <w:r>
        <w:t xml:space="preserve">many </w:t>
      </w:r>
      <w:r w:rsidRPr="00413416">
        <w:t xml:space="preserve">scholars across academic disciplines believe that educational programs that promote </w:t>
      </w:r>
      <w:r>
        <w:t xml:space="preserve">teaching and applying </w:t>
      </w:r>
      <w:r w:rsidRPr="00413416">
        <w:t>certain cognitive skills can increase student creativity (</w:t>
      </w:r>
      <w:proofErr w:type="spellStart"/>
      <w:r w:rsidRPr="00413416">
        <w:t>Ansburg</w:t>
      </w:r>
      <w:proofErr w:type="spellEnd"/>
      <w:r w:rsidRPr="00413416">
        <w:t xml:space="preserve"> </w:t>
      </w:r>
      <w:r>
        <w:t>&amp;</w:t>
      </w:r>
      <w:r w:rsidRPr="00413416">
        <w:t xml:space="preserve"> </w:t>
      </w:r>
      <w:proofErr w:type="spellStart"/>
      <w:r w:rsidRPr="00413416">
        <w:t>Dominowski</w:t>
      </w:r>
      <w:proofErr w:type="spellEnd"/>
      <w:r w:rsidRPr="00413416">
        <w:t xml:space="preserve">, 2000; Cunningham </w:t>
      </w:r>
      <w:r>
        <w:t>&amp;</w:t>
      </w:r>
      <w:r w:rsidRPr="00413416">
        <w:t xml:space="preserve"> </w:t>
      </w:r>
      <w:proofErr w:type="spellStart"/>
      <w:r w:rsidRPr="00413416">
        <w:t>MacGregor</w:t>
      </w:r>
      <w:proofErr w:type="spellEnd"/>
      <w:r w:rsidRPr="00413416">
        <w:t xml:space="preserve">, 2008; Davis, 2003; Scott, </w:t>
      </w:r>
      <w:proofErr w:type="spellStart"/>
      <w:r w:rsidRPr="00413416">
        <w:t>Leritz</w:t>
      </w:r>
      <w:proofErr w:type="spellEnd"/>
      <w:r w:rsidRPr="00413416">
        <w:t xml:space="preserve">, &amp; Mumford, 2004; Sternberg </w:t>
      </w:r>
      <w:r>
        <w:t>&amp;</w:t>
      </w:r>
      <w:r w:rsidRPr="00413416">
        <w:t xml:space="preserve"> Williams, 1996; Torrance, 1972). Among those who promote the view that creativity can be taught was the renowned creativity scholar Paul Torrance</w:t>
      </w:r>
      <w:r>
        <w:t>,</w:t>
      </w:r>
      <w:r w:rsidRPr="00413416">
        <w:t xml:space="preserve"> who observed</w:t>
      </w:r>
      <w:r>
        <w:t>:</w:t>
      </w:r>
      <w:r w:rsidRPr="00413416">
        <w:t xml:space="preserve"> </w:t>
      </w:r>
    </w:p>
    <w:p w:rsidR="00AC7A0C" w:rsidRDefault="00AC7A0C" w:rsidP="00AC7A0C">
      <w:pPr>
        <w:ind w:left="360" w:right="360"/>
      </w:pPr>
      <w:r w:rsidRPr="00413416">
        <w:t xml:space="preserve">I know that it is possible to teach children to think creatively and it can be done in a variety of ways. I have done it. I have seen my wife do it; I have seen other excellent teachers do it. I have seen children who had seemed previously to be </w:t>
      </w:r>
      <w:r>
        <w:t>“</w:t>
      </w:r>
      <w:r w:rsidRPr="00413416">
        <w:t>non-thinkers</w:t>
      </w:r>
      <w:r>
        <w:t>”</w:t>
      </w:r>
      <w:r w:rsidRPr="00413416">
        <w:t xml:space="preserve"> learn to think creatively, and I have seen them continuing for years thereafter to think creatively. I have seen, heard, and otherwise experienced their creativity. Their parents have told me that they saw it happening. Many of the children, now adults, say that it happened. I also know that these things would not have happened by chance because I have seen them ‘not happening’ to multitudes of their peers</w:t>
      </w:r>
      <w:r>
        <w:t xml:space="preserve"> </w:t>
      </w:r>
      <w:r w:rsidRPr="00413416">
        <w:t>(1972</w:t>
      </w:r>
      <w:r>
        <w:t>, p.</w:t>
      </w:r>
      <w:r w:rsidRPr="00413416">
        <w:t xml:space="preserve"> 114)</w:t>
      </w:r>
      <w:r>
        <w:t xml:space="preserve">. </w:t>
      </w:r>
    </w:p>
    <w:p w:rsidR="00AC7A0C" w:rsidRPr="00413416" w:rsidRDefault="00AC7A0C" w:rsidP="00AC7A0C">
      <w:r w:rsidRPr="00413416">
        <w:t xml:space="preserve">The findings reported in this paper suggest that creativity can indeed be taught. Our study employs a natural experiment and </w:t>
      </w:r>
      <w:r>
        <w:t xml:space="preserve">the </w:t>
      </w:r>
      <w:r w:rsidRPr="00413416">
        <w:t>results</w:t>
      </w:r>
      <w:r>
        <w:t xml:space="preserve"> of</w:t>
      </w:r>
      <w:r w:rsidRPr="00413416">
        <w:t xml:space="preserve"> bivariate statistical analysis provide evidence that pedagogy can increase students’ creativity. We find that students enrolled in a university civilizations course that examines characteristics of creativity exhibited by world civilizations significantly increases creativity in students enrolled in the course</w:t>
      </w:r>
      <w:r>
        <w:t>,</w:t>
      </w:r>
      <w:r w:rsidRPr="00413416">
        <w:t xml:space="preserve"> while students in a comparison group experienced no increase in creativity. Although this class does not explicitly teach students how to be creative, student creativity increased in these students as a byproduct of learning to identify creative principles and having opportunities to put those principles into practice. Furthermore,</w:t>
      </w:r>
      <w:r>
        <w:t xml:space="preserve"> d</w:t>
      </w:r>
      <w:r w:rsidRPr="00C1181E">
        <w:t xml:space="preserve">espite the </w:t>
      </w:r>
      <w:r>
        <w:t xml:space="preserve">long history of creativity research, </w:t>
      </w:r>
      <w:r w:rsidRPr="00413416">
        <w:t xml:space="preserve">future </w:t>
      </w:r>
      <w:r>
        <w:t xml:space="preserve">education </w:t>
      </w:r>
      <w:r w:rsidRPr="00413416">
        <w:t xml:space="preserve">researchers </w:t>
      </w:r>
      <w:r>
        <w:t xml:space="preserve">should </w:t>
      </w:r>
      <w:r w:rsidRPr="00413416">
        <w:t>consider using experimental designs</w:t>
      </w:r>
      <w:r>
        <w:t xml:space="preserve">, which </w:t>
      </w:r>
      <w:r w:rsidRPr="00CD4486">
        <w:rPr>
          <w:rFonts w:asciiTheme="majorBidi" w:hAnsiTheme="majorBidi" w:cstheme="majorBidi"/>
        </w:rPr>
        <w:t>remain</w:t>
      </w:r>
      <w:r>
        <w:rPr>
          <w:rFonts w:asciiTheme="majorBidi" w:hAnsiTheme="majorBidi" w:cstheme="majorBidi"/>
        </w:rPr>
        <w:t xml:space="preserve"> </w:t>
      </w:r>
      <w:r w:rsidRPr="00CD4486">
        <w:rPr>
          <w:rFonts w:asciiTheme="majorBidi" w:hAnsiTheme="majorBidi" w:cstheme="majorBidi"/>
        </w:rPr>
        <w:t>underutilized (</w:t>
      </w:r>
      <w:proofErr w:type="spellStart"/>
      <w:r>
        <w:rPr>
          <w:rFonts w:asciiTheme="majorBidi" w:hAnsiTheme="majorBidi" w:cstheme="majorBidi"/>
        </w:rPr>
        <w:t>Gersten</w:t>
      </w:r>
      <w:proofErr w:type="spellEnd"/>
      <w:r>
        <w:rPr>
          <w:rFonts w:asciiTheme="majorBidi" w:hAnsiTheme="majorBidi" w:cstheme="majorBidi"/>
        </w:rPr>
        <w:t xml:space="preserve">, Baker, &amp; Lloyd, 2000; </w:t>
      </w:r>
      <w:proofErr w:type="spellStart"/>
      <w:r>
        <w:rPr>
          <w:rFonts w:asciiTheme="majorBidi" w:hAnsiTheme="majorBidi" w:cstheme="majorBidi"/>
        </w:rPr>
        <w:t>Ge</w:t>
      </w:r>
      <w:r w:rsidRPr="00CD4486">
        <w:rPr>
          <w:rFonts w:asciiTheme="majorBidi" w:hAnsiTheme="majorBidi" w:cstheme="majorBidi"/>
        </w:rPr>
        <w:t>rsten</w:t>
      </w:r>
      <w:proofErr w:type="spellEnd"/>
      <w:r>
        <w:rPr>
          <w:rFonts w:asciiTheme="majorBidi" w:hAnsiTheme="majorBidi" w:cstheme="majorBidi"/>
        </w:rPr>
        <w:t>,</w:t>
      </w:r>
      <w:r w:rsidRPr="00CD4486">
        <w:rPr>
          <w:rFonts w:asciiTheme="majorBidi" w:hAnsiTheme="majorBidi" w:cstheme="majorBidi"/>
        </w:rPr>
        <w:t xml:space="preserve"> </w:t>
      </w:r>
      <w:r w:rsidRPr="00B7113B">
        <w:rPr>
          <w:rFonts w:asciiTheme="majorBidi" w:hAnsiTheme="majorBidi" w:cstheme="majorBidi"/>
        </w:rPr>
        <w:t>Fuchs, Compton, Coyne, Greenwood,</w:t>
      </w:r>
      <w:r>
        <w:rPr>
          <w:rFonts w:asciiTheme="majorBidi" w:hAnsiTheme="majorBidi" w:cstheme="majorBidi"/>
        </w:rPr>
        <w:t xml:space="preserve"> </w:t>
      </w:r>
      <w:r w:rsidRPr="00B7113B">
        <w:rPr>
          <w:rFonts w:asciiTheme="majorBidi" w:hAnsiTheme="majorBidi" w:cstheme="majorBidi"/>
        </w:rPr>
        <w:t xml:space="preserve">&amp; </w:t>
      </w:r>
      <w:proofErr w:type="spellStart"/>
      <w:r w:rsidRPr="00B7113B">
        <w:rPr>
          <w:rFonts w:asciiTheme="majorBidi" w:hAnsiTheme="majorBidi" w:cstheme="majorBidi"/>
        </w:rPr>
        <w:t>Innocenti</w:t>
      </w:r>
      <w:proofErr w:type="spellEnd"/>
      <w:r>
        <w:rPr>
          <w:rFonts w:asciiTheme="majorBidi" w:hAnsiTheme="majorBidi" w:cstheme="majorBidi"/>
        </w:rPr>
        <w:t>,</w:t>
      </w:r>
      <w:r w:rsidRPr="00CD4486">
        <w:rPr>
          <w:rFonts w:asciiTheme="majorBidi" w:hAnsiTheme="majorBidi" w:cstheme="majorBidi"/>
        </w:rPr>
        <w:t xml:space="preserve"> 2005; National Research Council</w:t>
      </w:r>
      <w:r>
        <w:rPr>
          <w:rFonts w:asciiTheme="majorBidi" w:hAnsiTheme="majorBidi" w:cstheme="majorBidi"/>
        </w:rPr>
        <w:t>,</w:t>
      </w:r>
      <w:r w:rsidRPr="00CD4486">
        <w:rPr>
          <w:rFonts w:asciiTheme="majorBidi" w:hAnsiTheme="majorBidi" w:cstheme="majorBidi"/>
        </w:rPr>
        <w:t xml:space="preserve"> 2002)</w:t>
      </w:r>
      <w:r>
        <w:rPr>
          <w:rFonts w:asciiTheme="majorBidi" w:hAnsiTheme="majorBidi" w:cstheme="majorBidi"/>
        </w:rPr>
        <w:t xml:space="preserve">. </w:t>
      </w:r>
    </w:p>
    <w:p w:rsidR="00AC7A0C" w:rsidRPr="00413416" w:rsidRDefault="00AC7A0C" w:rsidP="00AC7A0C">
      <w:r w:rsidRPr="00413416">
        <w:t xml:space="preserve">It is critical to teach skills that improve creativity to keep pace in today’s ever-changing global landscape. </w:t>
      </w:r>
      <w:r>
        <w:t xml:space="preserve">Although </w:t>
      </w:r>
      <w:r w:rsidRPr="00413416">
        <w:t>there are obstacles to teaching creativity in the current educational system, which is more a</w:t>
      </w:r>
      <w:r>
        <w:t>de</w:t>
      </w:r>
      <w:r w:rsidRPr="00413416">
        <w:t>pt at transmitting static knowledge than teaching students how to analyze and generate novel solutions to problems</w:t>
      </w:r>
      <w:r>
        <w:t>, i</w:t>
      </w:r>
      <w:r w:rsidRPr="00413416">
        <w:t xml:space="preserve">t is imperative that we make creativity research and curricula a larger part of our </w:t>
      </w:r>
      <w:r>
        <w:t>social</w:t>
      </w:r>
      <w:r w:rsidRPr="00413416">
        <w:t xml:space="preserve"> </w:t>
      </w:r>
      <w:r>
        <w:t xml:space="preserve">and policy </w:t>
      </w:r>
      <w:r w:rsidRPr="00413416">
        <w:t>agenda</w:t>
      </w:r>
      <w:r>
        <w:t>s</w:t>
      </w:r>
      <w:r w:rsidRPr="00413416">
        <w:t>. It is not only critical to continue to find new approaches to teach students, but to make serious and concerted efforts</w:t>
      </w:r>
      <w:r>
        <w:t xml:space="preserve"> to</w:t>
      </w:r>
      <w:r w:rsidRPr="00413416">
        <w:t xml:space="preserve"> implement current knowledge about increasing creativity and updating antiquated educational programs that inhibit creativity. </w:t>
      </w:r>
    </w:p>
    <w:p w:rsidR="00FD750B" w:rsidRDefault="00FD750B">
      <w:pPr>
        <w:spacing w:before="0" w:after="0"/>
        <w:rPr>
          <w:rFonts w:ascii="Arial" w:hAnsi="Arial"/>
          <w:b/>
          <w:noProof/>
          <w:sz w:val="24"/>
        </w:rPr>
      </w:pPr>
      <w:r>
        <w:br w:type="page"/>
      </w:r>
    </w:p>
    <w:p w:rsidR="00AC7A0C" w:rsidRPr="00413416" w:rsidRDefault="00AC7A0C" w:rsidP="00AC7A0C">
      <w:pPr>
        <w:pStyle w:val="Heading3"/>
      </w:pPr>
      <w:r w:rsidRPr="00413416">
        <w:t>References</w:t>
      </w:r>
    </w:p>
    <w:p w:rsidR="00AC7A0C" w:rsidRPr="00FD750B" w:rsidRDefault="00AC7A0C" w:rsidP="00AC7A0C">
      <w:pPr>
        <w:ind w:left="720" w:hanging="720"/>
        <w:rPr>
          <w:szCs w:val="22"/>
        </w:rPr>
      </w:pPr>
      <w:proofErr w:type="gramStart"/>
      <w:r w:rsidRPr="00FD750B">
        <w:rPr>
          <w:szCs w:val="22"/>
        </w:rPr>
        <w:t>Ai, X. (1999).</w:t>
      </w:r>
      <w:proofErr w:type="gramEnd"/>
      <w:r w:rsidRPr="00FD750B">
        <w:rPr>
          <w:szCs w:val="22"/>
        </w:rPr>
        <w:t xml:space="preserve"> Creativity and academic achievement: An investigation of gender differences.</w:t>
      </w:r>
      <w:r w:rsidRPr="00FD750B">
        <w:rPr>
          <w:i/>
          <w:iCs/>
          <w:szCs w:val="22"/>
        </w:rPr>
        <w:t xml:space="preserve"> Creativity Research Journal, 12</w:t>
      </w:r>
      <w:r w:rsidRPr="00FD750B">
        <w:rPr>
          <w:szCs w:val="22"/>
        </w:rPr>
        <w:t>(4), 329–337.</w:t>
      </w:r>
    </w:p>
    <w:p w:rsidR="00AC7A0C" w:rsidRPr="00FD750B" w:rsidRDefault="00AC7A0C" w:rsidP="00AC7A0C">
      <w:pPr>
        <w:ind w:left="720" w:hanging="720"/>
        <w:rPr>
          <w:szCs w:val="22"/>
        </w:rPr>
      </w:pPr>
      <w:proofErr w:type="spellStart"/>
      <w:r w:rsidRPr="00FD750B">
        <w:rPr>
          <w:szCs w:val="22"/>
        </w:rPr>
        <w:t>Amabile</w:t>
      </w:r>
      <w:proofErr w:type="spellEnd"/>
      <w:r w:rsidRPr="00FD750B">
        <w:rPr>
          <w:szCs w:val="22"/>
        </w:rPr>
        <w:t xml:space="preserve">, T. M. (1996). </w:t>
      </w:r>
      <w:proofErr w:type="gramStart"/>
      <w:r w:rsidRPr="00FD750B">
        <w:rPr>
          <w:i/>
          <w:szCs w:val="22"/>
        </w:rPr>
        <w:t>Creativity in context</w:t>
      </w:r>
      <w:r w:rsidRPr="00FD750B">
        <w:rPr>
          <w:szCs w:val="22"/>
        </w:rPr>
        <w:t>.</w:t>
      </w:r>
      <w:proofErr w:type="gramEnd"/>
      <w:r w:rsidRPr="00FD750B">
        <w:rPr>
          <w:szCs w:val="22"/>
        </w:rPr>
        <w:t xml:space="preserve"> Boulder, CO: Westview.</w:t>
      </w:r>
    </w:p>
    <w:p w:rsidR="00AC7A0C" w:rsidRPr="00FD750B" w:rsidRDefault="00AC7A0C" w:rsidP="00AC7A0C">
      <w:pPr>
        <w:ind w:left="720" w:hanging="720"/>
        <w:rPr>
          <w:szCs w:val="22"/>
        </w:rPr>
      </w:pPr>
      <w:proofErr w:type="spellStart"/>
      <w:proofErr w:type="gramStart"/>
      <w:r w:rsidRPr="00FD750B">
        <w:rPr>
          <w:szCs w:val="22"/>
        </w:rPr>
        <w:t>Ansburg</w:t>
      </w:r>
      <w:proofErr w:type="spellEnd"/>
      <w:r w:rsidRPr="00FD750B">
        <w:rPr>
          <w:szCs w:val="22"/>
        </w:rPr>
        <w:t xml:space="preserve">, P. I., &amp; </w:t>
      </w:r>
      <w:proofErr w:type="spellStart"/>
      <w:r w:rsidRPr="00FD750B">
        <w:rPr>
          <w:szCs w:val="22"/>
        </w:rPr>
        <w:t>Dominowski</w:t>
      </w:r>
      <w:proofErr w:type="spellEnd"/>
      <w:r w:rsidRPr="00FD750B">
        <w:rPr>
          <w:szCs w:val="22"/>
        </w:rPr>
        <w:t>, R. L. (2000).</w:t>
      </w:r>
      <w:proofErr w:type="gramEnd"/>
      <w:r w:rsidRPr="00FD750B">
        <w:rPr>
          <w:szCs w:val="22"/>
        </w:rPr>
        <w:t xml:space="preserve"> </w:t>
      </w:r>
      <w:proofErr w:type="gramStart"/>
      <w:r w:rsidRPr="00FD750B">
        <w:rPr>
          <w:szCs w:val="22"/>
        </w:rPr>
        <w:t>Promoting insightful problem solving.</w:t>
      </w:r>
      <w:proofErr w:type="gramEnd"/>
      <w:r w:rsidRPr="00FD750B">
        <w:rPr>
          <w:szCs w:val="22"/>
        </w:rPr>
        <w:t xml:space="preserve"> </w:t>
      </w:r>
      <w:r w:rsidRPr="00FD750B">
        <w:rPr>
          <w:i/>
          <w:iCs/>
          <w:szCs w:val="22"/>
        </w:rPr>
        <w:t>Journal of Creative Behavior, 34</w:t>
      </w:r>
      <w:r w:rsidRPr="00FD750B">
        <w:rPr>
          <w:szCs w:val="22"/>
        </w:rPr>
        <w:t xml:space="preserve">(1), 30–60. </w:t>
      </w:r>
    </w:p>
    <w:p w:rsidR="00AC7A0C" w:rsidRPr="00FD750B" w:rsidRDefault="00AC7A0C" w:rsidP="00AC7A0C">
      <w:pPr>
        <w:ind w:left="720" w:hanging="720"/>
        <w:rPr>
          <w:szCs w:val="22"/>
        </w:rPr>
      </w:pPr>
      <w:proofErr w:type="gramStart"/>
      <w:r w:rsidRPr="00FD750B">
        <w:rPr>
          <w:szCs w:val="22"/>
        </w:rPr>
        <w:t>Baer, J., &amp; Kaufman, J. C. (2006).</w:t>
      </w:r>
      <w:proofErr w:type="gramEnd"/>
      <w:r w:rsidRPr="00FD750B">
        <w:rPr>
          <w:szCs w:val="22"/>
        </w:rPr>
        <w:t xml:space="preserve"> </w:t>
      </w:r>
      <w:proofErr w:type="gramStart"/>
      <w:r w:rsidRPr="00FD750B">
        <w:rPr>
          <w:szCs w:val="22"/>
        </w:rPr>
        <w:t>Creativity research in English-speaking countries.</w:t>
      </w:r>
      <w:proofErr w:type="gramEnd"/>
      <w:r w:rsidRPr="00FD750B">
        <w:rPr>
          <w:szCs w:val="22"/>
        </w:rPr>
        <w:t xml:space="preserve"> In J. C. Kaufman &amp; R. J. Sternberg (Eds.), </w:t>
      </w:r>
      <w:proofErr w:type="gramStart"/>
      <w:r w:rsidRPr="00FD750B">
        <w:rPr>
          <w:i/>
          <w:szCs w:val="22"/>
        </w:rPr>
        <w:t>The</w:t>
      </w:r>
      <w:proofErr w:type="gramEnd"/>
      <w:r w:rsidRPr="00FD750B">
        <w:rPr>
          <w:i/>
          <w:szCs w:val="22"/>
        </w:rPr>
        <w:t xml:space="preserve"> international handbook of creativity </w:t>
      </w:r>
      <w:r w:rsidRPr="00FD750B">
        <w:rPr>
          <w:szCs w:val="22"/>
        </w:rPr>
        <w:t>(pp. 10–38). New York, NY: Cambridge University Press.</w:t>
      </w:r>
    </w:p>
    <w:p w:rsidR="00AC7A0C" w:rsidRPr="00FD750B" w:rsidRDefault="00AC7A0C" w:rsidP="00AC7A0C">
      <w:pPr>
        <w:ind w:left="720" w:hanging="720"/>
        <w:rPr>
          <w:szCs w:val="22"/>
        </w:rPr>
      </w:pPr>
      <w:proofErr w:type="gramStart"/>
      <w:r w:rsidRPr="00FD750B">
        <w:rPr>
          <w:szCs w:val="22"/>
        </w:rPr>
        <w:t>Business Roundtable.</w:t>
      </w:r>
      <w:proofErr w:type="gramEnd"/>
      <w:r w:rsidRPr="00FD750B">
        <w:rPr>
          <w:szCs w:val="22"/>
        </w:rPr>
        <w:t xml:space="preserve"> (2005). </w:t>
      </w:r>
      <w:r w:rsidRPr="00FD750B">
        <w:rPr>
          <w:i/>
          <w:iCs/>
          <w:szCs w:val="22"/>
        </w:rPr>
        <w:t>Tapping America's potential: The education for innovation initiative</w:t>
      </w:r>
      <w:r w:rsidRPr="00FD750B">
        <w:rPr>
          <w:szCs w:val="22"/>
        </w:rPr>
        <w:t>. Washington, DC: Business Roundtable.</w:t>
      </w:r>
    </w:p>
    <w:p w:rsidR="00AC7A0C" w:rsidRPr="00FD750B" w:rsidRDefault="00AC7A0C" w:rsidP="00AC7A0C">
      <w:pPr>
        <w:ind w:left="720" w:hanging="720"/>
        <w:rPr>
          <w:szCs w:val="22"/>
        </w:rPr>
      </w:pPr>
      <w:r w:rsidRPr="00FD750B">
        <w:rPr>
          <w:szCs w:val="22"/>
        </w:rPr>
        <w:t xml:space="preserve">Chu, Steven. </w:t>
      </w:r>
      <w:proofErr w:type="gramStart"/>
      <w:r w:rsidRPr="00FD750B">
        <w:rPr>
          <w:szCs w:val="22"/>
        </w:rPr>
        <w:t>In United States Government (Producer) (2011).</w:t>
      </w:r>
      <w:proofErr w:type="gramEnd"/>
      <w:r w:rsidRPr="00FD750B">
        <w:rPr>
          <w:szCs w:val="22"/>
        </w:rPr>
        <w:t xml:space="preserve"> “Educate to Innovate.” </w:t>
      </w:r>
      <w:proofErr w:type="gramStart"/>
      <w:r w:rsidRPr="00FD750B">
        <w:rPr>
          <w:szCs w:val="22"/>
        </w:rPr>
        <w:t xml:space="preserve">Available from </w:t>
      </w:r>
      <w:hyperlink r:id="rId38" w:history="1">
        <w:r w:rsidRPr="00FD750B">
          <w:rPr>
            <w:rStyle w:val="Hyperlink"/>
            <w:rFonts w:ascii="Times New Roman" w:hAnsi="Times New Roman"/>
            <w:szCs w:val="22"/>
          </w:rPr>
          <w:t>http://www.whitehouse.gov/issues/education/educate-innovate</w:t>
        </w:r>
      </w:hyperlink>
      <w:r w:rsidRPr="00FD750B">
        <w:rPr>
          <w:szCs w:val="22"/>
        </w:rPr>
        <w:t>.</w:t>
      </w:r>
      <w:proofErr w:type="gramEnd"/>
    </w:p>
    <w:p w:rsidR="00AC7A0C" w:rsidRPr="00FD750B" w:rsidRDefault="00AC7A0C" w:rsidP="00AC7A0C">
      <w:pPr>
        <w:ind w:left="720" w:hanging="720"/>
        <w:rPr>
          <w:szCs w:val="22"/>
        </w:rPr>
      </w:pPr>
      <w:proofErr w:type="gramStart"/>
      <w:r w:rsidRPr="00FD750B">
        <w:rPr>
          <w:szCs w:val="22"/>
        </w:rPr>
        <w:t>Council on Competitiveness.</w:t>
      </w:r>
      <w:proofErr w:type="gramEnd"/>
      <w:r w:rsidRPr="00FD750B">
        <w:rPr>
          <w:szCs w:val="22"/>
        </w:rPr>
        <w:t xml:space="preserve"> (2005). </w:t>
      </w:r>
      <w:r w:rsidRPr="00FD750B">
        <w:rPr>
          <w:i/>
          <w:iCs/>
          <w:szCs w:val="22"/>
        </w:rPr>
        <w:t>Innovate America: National innovation initiative summit and report</w:t>
      </w:r>
      <w:r w:rsidRPr="00FD750B">
        <w:rPr>
          <w:szCs w:val="22"/>
        </w:rPr>
        <w:t>. Washington, DC: Council on Competitiveness.</w:t>
      </w:r>
    </w:p>
    <w:p w:rsidR="00AC7A0C" w:rsidRPr="00FD750B" w:rsidRDefault="00AC7A0C" w:rsidP="00AC7A0C">
      <w:pPr>
        <w:ind w:left="720" w:hanging="720"/>
        <w:rPr>
          <w:szCs w:val="22"/>
        </w:rPr>
      </w:pPr>
      <w:proofErr w:type="gramStart"/>
      <w:r w:rsidRPr="00FD750B">
        <w:rPr>
          <w:szCs w:val="22"/>
        </w:rPr>
        <w:t>Covington, M. V., Crutchfield, R. S., Davies, L., &amp; Olton, R. M. (1974).</w:t>
      </w:r>
      <w:proofErr w:type="gramEnd"/>
      <w:r w:rsidRPr="00FD750B">
        <w:rPr>
          <w:szCs w:val="22"/>
        </w:rPr>
        <w:t xml:space="preserve"> </w:t>
      </w:r>
      <w:r w:rsidRPr="00FD750B">
        <w:rPr>
          <w:i/>
          <w:iCs/>
          <w:szCs w:val="22"/>
        </w:rPr>
        <w:t>The productive thinking program: A course in learning to think</w:t>
      </w:r>
      <w:r w:rsidRPr="00FD750B">
        <w:rPr>
          <w:szCs w:val="22"/>
        </w:rPr>
        <w:t>. Columbus, OH: Merrill.</w:t>
      </w:r>
    </w:p>
    <w:p w:rsidR="00AC7A0C" w:rsidRPr="00FD750B" w:rsidRDefault="00AC7A0C" w:rsidP="00AC7A0C">
      <w:pPr>
        <w:ind w:left="720" w:hanging="720"/>
        <w:rPr>
          <w:szCs w:val="22"/>
        </w:rPr>
      </w:pPr>
      <w:proofErr w:type="gramStart"/>
      <w:r w:rsidRPr="00FD750B">
        <w:rPr>
          <w:szCs w:val="22"/>
        </w:rPr>
        <w:t xml:space="preserve">Craft, A., Jeffrey, B., &amp; </w:t>
      </w:r>
      <w:proofErr w:type="spellStart"/>
      <w:r w:rsidRPr="00FD750B">
        <w:rPr>
          <w:szCs w:val="22"/>
        </w:rPr>
        <w:t>Leibling</w:t>
      </w:r>
      <w:proofErr w:type="spellEnd"/>
      <w:r w:rsidRPr="00FD750B">
        <w:rPr>
          <w:szCs w:val="22"/>
        </w:rPr>
        <w:t>, M. (Eds.).</w:t>
      </w:r>
      <w:proofErr w:type="gramEnd"/>
      <w:r w:rsidRPr="00FD750B">
        <w:rPr>
          <w:szCs w:val="22"/>
        </w:rPr>
        <w:t xml:space="preserve"> </w:t>
      </w:r>
      <w:proofErr w:type="gramStart"/>
      <w:r w:rsidRPr="00FD750B">
        <w:rPr>
          <w:szCs w:val="22"/>
        </w:rPr>
        <w:t xml:space="preserve">(2001). </w:t>
      </w:r>
      <w:r w:rsidRPr="00FD750B">
        <w:rPr>
          <w:i/>
          <w:iCs/>
          <w:szCs w:val="22"/>
        </w:rPr>
        <w:t>Creativity in education</w:t>
      </w:r>
      <w:r w:rsidRPr="00FD750B">
        <w:rPr>
          <w:szCs w:val="22"/>
        </w:rPr>
        <w:t>.</w:t>
      </w:r>
      <w:proofErr w:type="gramEnd"/>
      <w:r w:rsidRPr="00FD750B">
        <w:rPr>
          <w:szCs w:val="22"/>
        </w:rPr>
        <w:t xml:space="preserve"> London: Continuum.</w:t>
      </w:r>
    </w:p>
    <w:p w:rsidR="00AC7A0C" w:rsidRPr="00FD750B" w:rsidRDefault="00AC7A0C" w:rsidP="00AC7A0C">
      <w:pPr>
        <w:ind w:left="720" w:hanging="720"/>
        <w:rPr>
          <w:szCs w:val="22"/>
        </w:rPr>
      </w:pPr>
      <w:proofErr w:type="gramStart"/>
      <w:r w:rsidRPr="00FD750B">
        <w:rPr>
          <w:szCs w:val="22"/>
        </w:rPr>
        <w:t xml:space="preserve">Cunningham, J. B., &amp; </w:t>
      </w:r>
      <w:proofErr w:type="spellStart"/>
      <w:r w:rsidRPr="00FD750B">
        <w:rPr>
          <w:szCs w:val="22"/>
        </w:rPr>
        <w:t>MacGregor</w:t>
      </w:r>
      <w:proofErr w:type="spellEnd"/>
      <w:r w:rsidRPr="00FD750B">
        <w:rPr>
          <w:szCs w:val="22"/>
        </w:rPr>
        <w:t>, J. N. (2008).</w:t>
      </w:r>
      <w:proofErr w:type="gramEnd"/>
      <w:r w:rsidRPr="00FD750B">
        <w:rPr>
          <w:szCs w:val="22"/>
        </w:rPr>
        <w:t xml:space="preserve"> Training insightful problem solving: Effects of realistic and puzzle-like contexts. </w:t>
      </w:r>
      <w:r w:rsidRPr="00FD750B">
        <w:rPr>
          <w:i/>
          <w:iCs/>
          <w:szCs w:val="22"/>
        </w:rPr>
        <w:t>Creativity Research Journal, 20</w:t>
      </w:r>
      <w:r w:rsidRPr="00FD750B">
        <w:rPr>
          <w:szCs w:val="22"/>
        </w:rPr>
        <w:t>(3), 291–296.</w:t>
      </w:r>
    </w:p>
    <w:p w:rsidR="00AC7A0C" w:rsidRPr="00FD750B" w:rsidRDefault="00AC7A0C" w:rsidP="00AC7A0C">
      <w:pPr>
        <w:ind w:left="720" w:hanging="720"/>
        <w:rPr>
          <w:szCs w:val="22"/>
        </w:rPr>
      </w:pPr>
      <w:r w:rsidRPr="00FD750B">
        <w:rPr>
          <w:szCs w:val="22"/>
        </w:rPr>
        <w:t xml:space="preserve">Davis, G. A. (2003). </w:t>
      </w:r>
      <w:proofErr w:type="gramStart"/>
      <w:r w:rsidRPr="00FD750B">
        <w:rPr>
          <w:szCs w:val="22"/>
        </w:rPr>
        <w:t>Identifying creative students, teaching for creative growth.</w:t>
      </w:r>
      <w:proofErr w:type="gramEnd"/>
      <w:r w:rsidRPr="00FD750B">
        <w:rPr>
          <w:szCs w:val="22"/>
        </w:rPr>
        <w:t xml:space="preserve"> In N. </w:t>
      </w:r>
      <w:proofErr w:type="spellStart"/>
      <w:r w:rsidRPr="00FD750B">
        <w:rPr>
          <w:szCs w:val="22"/>
        </w:rPr>
        <w:t>Colangelo</w:t>
      </w:r>
      <w:proofErr w:type="spellEnd"/>
      <w:r w:rsidRPr="00FD750B">
        <w:rPr>
          <w:szCs w:val="22"/>
        </w:rPr>
        <w:t xml:space="preserve"> &amp; G. A. Davis (Eds.), </w:t>
      </w:r>
      <w:r w:rsidRPr="00FD750B">
        <w:rPr>
          <w:i/>
          <w:iCs/>
          <w:szCs w:val="22"/>
        </w:rPr>
        <w:t xml:space="preserve">Handbook of gifted education </w:t>
      </w:r>
      <w:r w:rsidRPr="00FD750B">
        <w:rPr>
          <w:iCs/>
          <w:szCs w:val="22"/>
        </w:rPr>
        <w:t xml:space="preserve">(3rd </w:t>
      </w:r>
      <w:proofErr w:type="gramStart"/>
      <w:r w:rsidRPr="00FD750B">
        <w:rPr>
          <w:iCs/>
          <w:szCs w:val="22"/>
        </w:rPr>
        <w:t>ed</w:t>
      </w:r>
      <w:proofErr w:type="gramEnd"/>
      <w:r w:rsidRPr="00FD750B">
        <w:rPr>
          <w:iCs/>
          <w:szCs w:val="22"/>
        </w:rPr>
        <w:t>.)</w:t>
      </w:r>
      <w:r w:rsidRPr="00FD750B">
        <w:rPr>
          <w:i/>
          <w:iCs/>
          <w:szCs w:val="22"/>
        </w:rPr>
        <w:t xml:space="preserve"> </w:t>
      </w:r>
      <w:r w:rsidRPr="00FD750B">
        <w:rPr>
          <w:szCs w:val="22"/>
        </w:rPr>
        <w:t>(pp. 312–324). Boston, MA: Pearson Education.</w:t>
      </w:r>
    </w:p>
    <w:p w:rsidR="00AC7A0C" w:rsidRPr="00FD750B" w:rsidRDefault="00AC7A0C" w:rsidP="00AC7A0C">
      <w:pPr>
        <w:ind w:left="720" w:hanging="720"/>
        <w:rPr>
          <w:rStyle w:val="citation"/>
          <w:rFonts w:ascii="Times New Roman" w:hAnsi="Times New Roman"/>
          <w:szCs w:val="22"/>
        </w:rPr>
      </w:pPr>
      <w:proofErr w:type="gramStart"/>
      <w:r w:rsidRPr="00FD750B">
        <w:rPr>
          <w:rStyle w:val="citation"/>
          <w:rFonts w:ascii="Times New Roman" w:hAnsi="Times New Roman"/>
          <w:szCs w:val="22"/>
        </w:rPr>
        <w:t>de</w:t>
      </w:r>
      <w:proofErr w:type="gramEnd"/>
      <w:r w:rsidRPr="00FD750B">
        <w:rPr>
          <w:rStyle w:val="citation"/>
          <w:rFonts w:ascii="Times New Roman" w:hAnsi="Times New Roman"/>
          <w:szCs w:val="22"/>
        </w:rPr>
        <w:t xml:space="preserve"> Bono, E. (1970). </w:t>
      </w:r>
      <w:r w:rsidRPr="00FD750B">
        <w:rPr>
          <w:rStyle w:val="citation"/>
          <w:rFonts w:ascii="Times New Roman" w:hAnsi="Times New Roman"/>
          <w:i/>
          <w:iCs/>
          <w:szCs w:val="22"/>
        </w:rPr>
        <w:t>Lateral thinking: Creativity step by step</w:t>
      </w:r>
      <w:r w:rsidRPr="00FD750B">
        <w:rPr>
          <w:rStyle w:val="citation"/>
          <w:rFonts w:ascii="Times New Roman" w:hAnsi="Times New Roman"/>
          <w:szCs w:val="22"/>
        </w:rPr>
        <w:t xml:space="preserve">. </w:t>
      </w:r>
      <w:r w:rsidRPr="00FD750B">
        <w:rPr>
          <w:szCs w:val="22"/>
        </w:rPr>
        <w:t xml:space="preserve">New York: </w:t>
      </w:r>
      <w:r w:rsidRPr="00FD750B">
        <w:rPr>
          <w:rStyle w:val="citation"/>
          <w:rFonts w:ascii="Times New Roman" w:hAnsi="Times New Roman"/>
          <w:szCs w:val="22"/>
        </w:rPr>
        <w:t>Harper &amp; Row.</w:t>
      </w:r>
    </w:p>
    <w:p w:rsidR="00AC7A0C" w:rsidRPr="00FD750B" w:rsidRDefault="00AC7A0C" w:rsidP="00AC7A0C">
      <w:pPr>
        <w:ind w:left="720" w:hanging="720"/>
        <w:rPr>
          <w:szCs w:val="22"/>
        </w:rPr>
      </w:pPr>
      <w:proofErr w:type="gramStart"/>
      <w:r w:rsidRPr="00FD750B">
        <w:rPr>
          <w:szCs w:val="22"/>
        </w:rPr>
        <w:t>de</w:t>
      </w:r>
      <w:proofErr w:type="gramEnd"/>
      <w:r w:rsidRPr="00FD750B">
        <w:rPr>
          <w:szCs w:val="22"/>
        </w:rPr>
        <w:t xml:space="preserve"> Bono, E. (1973). </w:t>
      </w:r>
      <w:proofErr w:type="spellStart"/>
      <w:proofErr w:type="gramStart"/>
      <w:r w:rsidRPr="00FD750B">
        <w:rPr>
          <w:i/>
          <w:iCs/>
          <w:szCs w:val="22"/>
        </w:rPr>
        <w:t>CoRT</w:t>
      </w:r>
      <w:proofErr w:type="spellEnd"/>
      <w:r w:rsidRPr="00FD750B">
        <w:rPr>
          <w:i/>
          <w:iCs/>
          <w:szCs w:val="22"/>
        </w:rPr>
        <w:t xml:space="preserve"> thinking</w:t>
      </w:r>
      <w:r w:rsidRPr="00FD750B">
        <w:rPr>
          <w:szCs w:val="22"/>
        </w:rPr>
        <w:t>.</w:t>
      </w:r>
      <w:proofErr w:type="gramEnd"/>
      <w:r w:rsidRPr="00FD750B">
        <w:rPr>
          <w:szCs w:val="22"/>
        </w:rPr>
        <w:t xml:space="preserve"> </w:t>
      </w:r>
      <w:proofErr w:type="spellStart"/>
      <w:r w:rsidRPr="00FD750B">
        <w:rPr>
          <w:szCs w:val="22"/>
        </w:rPr>
        <w:t>Blanford</w:t>
      </w:r>
      <w:proofErr w:type="spellEnd"/>
      <w:r w:rsidRPr="00FD750B">
        <w:rPr>
          <w:szCs w:val="22"/>
        </w:rPr>
        <w:t>, England: Direct Educational Services.</w:t>
      </w:r>
    </w:p>
    <w:p w:rsidR="00AC7A0C" w:rsidRPr="00FD750B" w:rsidRDefault="00AC7A0C" w:rsidP="00AC7A0C">
      <w:pPr>
        <w:ind w:left="720" w:hanging="720"/>
        <w:rPr>
          <w:szCs w:val="22"/>
        </w:rPr>
      </w:pPr>
      <w:proofErr w:type="gramStart"/>
      <w:r w:rsidRPr="00FD750B">
        <w:rPr>
          <w:szCs w:val="22"/>
        </w:rPr>
        <w:t>de</w:t>
      </w:r>
      <w:proofErr w:type="gramEnd"/>
      <w:r w:rsidRPr="00FD750B">
        <w:rPr>
          <w:szCs w:val="22"/>
        </w:rPr>
        <w:t xml:space="preserve"> Bono, E. (1985). </w:t>
      </w:r>
      <w:proofErr w:type="gramStart"/>
      <w:r w:rsidRPr="00FD750B">
        <w:rPr>
          <w:i/>
          <w:szCs w:val="22"/>
        </w:rPr>
        <w:t>Six thinking hats</w:t>
      </w:r>
      <w:r w:rsidRPr="00FD750B">
        <w:rPr>
          <w:szCs w:val="22"/>
        </w:rPr>
        <w:t>.</w:t>
      </w:r>
      <w:proofErr w:type="gramEnd"/>
      <w:r w:rsidRPr="00FD750B">
        <w:rPr>
          <w:szCs w:val="22"/>
        </w:rPr>
        <w:t xml:space="preserve"> Boston, MA: Little, Brown, &amp; Company.</w:t>
      </w:r>
    </w:p>
    <w:p w:rsidR="00AC7A0C" w:rsidRPr="00FD750B" w:rsidRDefault="00AC7A0C" w:rsidP="00AC7A0C">
      <w:pPr>
        <w:ind w:left="720" w:hanging="720"/>
        <w:rPr>
          <w:szCs w:val="22"/>
        </w:rPr>
      </w:pPr>
      <w:proofErr w:type="spellStart"/>
      <w:r w:rsidRPr="00FD750B">
        <w:rPr>
          <w:szCs w:val="22"/>
        </w:rPr>
        <w:t>Doppelt</w:t>
      </w:r>
      <w:proofErr w:type="spellEnd"/>
      <w:r w:rsidRPr="00FD750B">
        <w:rPr>
          <w:szCs w:val="22"/>
        </w:rPr>
        <w:t xml:space="preserve">, Y. (2009). </w:t>
      </w:r>
      <w:proofErr w:type="gramStart"/>
      <w:r w:rsidRPr="00FD750B">
        <w:rPr>
          <w:szCs w:val="22"/>
        </w:rPr>
        <w:t>Assessing creative thinking in design-based learning.</w:t>
      </w:r>
      <w:proofErr w:type="gramEnd"/>
      <w:r w:rsidRPr="00FD750B">
        <w:rPr>
          <w:szCs w:val="22"/>
        </w:rPr>
        <w:t xml:space="preserve"> </w:t>
      </w:r>
      <w:r w:rsidRPr="00FD750B">
        <w:rPr>
          <w:i/>
          <w:iCs/>
          <w:szCs w:val="22"/>
        </w:rPr>
        <w:t>International Journal of Technological Design Education, 19</w:t>
      </w:r>
      <w:r w:rsidRPr="00FD750B">
        <w:rPr>
          <w:szCs w:val="22"/>
        </w:rPr>
        <w:t>(1), 55–65.</w:t>
      </w:r>
    </w:p>
    <w:p w:rsidR="00AC7A0C" w:rsidRPr="00FD750B" w:rsidRDefault="00AC7A0C" w:rsidP="00AC7A0C">
      <w:pPr>
        <w:ind w:left="720" w:hanging="720"/>
        <w:rPr>
          <w:szCs w:val="22"/>
        </w:rPr>
      </w:pPr>
      <w:proofErr w:type="spellStart"/>
      <w:r w:rsidRPr="00FD750B">
        <w:rPr>
          <w:szCs w:val="22"/>
        </w:rPr>
        <w:t>Feldhusen</w:t>
      </w:r>
      <w:proofErr w:type="spellEnd"/>
      <w:r w:rsidRPr="00FD750B">
        <w:rPr>
          <w:szCs w:val="22"/>
        </w:rPr>
        <w:t xml:space="preserve">, J. F. (1983). </w:t>
      </w:r>
      <w:proofErr w:type="gramStart"/>
      <w:r w:rsidRPr="00FD750B">
        <w:rPr>
          <w:szCs w:val="22"/>
        </w:rPr>
        <w:t>The Purdue creative thinking program.</w:t>
      </w:r>
      <w:proofErr w:type="gramEnd"/>
      <w:r w:rsidRPr="00FD750B">
        <w:rPr>
          <w:szCs w:val="22"/>
        </w:rPr>
        <w:t xml:space="preserve"> </w:t>
      </w:r>
      <w:proofErr w:type="gramStart"/>
      <w:r w:rsidRPr="00FD750B">
        <w:rPr>
          <w:szCs w:val="22"/>
        </w:rPr>
        <w:t xml:space="preserve">In I. S. Sato (Ed.), </w:t>
      </w:r>
      <w:r w:rsidRPr="00FD750B">
        <w:rPr>
          <w:i/>
          <w:iCs/>
          <w:szCs w:val="22"/>
        </w:rPr>
        <w:t xml:space="preserve">Creativity research and educational planning </w:t>
      </w:r>
      <w:r w:rsidRPr="00FD750B">
        <w:rPr>
          <w:szCs w:val="22"/>
        </w:rPr>
        <w:t>(pp. 41–46).</w:t>
      </w:r>
      <w:proofErr w:type="gramEnd"/>
      <w:r w:rsidRPr="00FD750B">
        <w:rPr>
          <w:szCs w:val="22"/>
        </w:rPr>
        <w:t xml:space="preserve"> Los Angeles, CA: Leadership Training Institute for the Gifted and Talented.</w:t>
      </w:r>
    </w:p>
    <w:p w:rsidR="00AC7A0C" w:rsidRPr="00FD750B" w:rsidRDefault="00AC7A0C" w:rsidP="00AC7A0C">
      <w:pPr>
        <w:ind w:left="720" w:hanging="720"/>
        <w:rPr>
          <w:szCs w:val="22"/>
        </w:rPr>
      </w:pPr>
      <w:proofErr w:type="spellStart"/>
      <w:r w:rsidRPr="00FD750B">
        <w:rPr>
          <w:szCs w:val="22"/>
        </w:rPr>
        <w:t>Gersten</w:t>
      </w:r>
      <w:proofErr w:type="spellEnd"/>
      <w:r w:rsidRPr="00FD750B">
        <w:rPr>
          <w:szCs w:val="22"/>
        </w:rPr>
        <w:t xml:space="preserve">, R., Baker, S., &amp; Lloyd, J. W. (2000). </w:t>
      </w:r>
      <w:proofErr w:type="gramStart"/>
      <w:r w:rsidRPr="00FD750B">
        <w:rPr>
          <w:szCs w:val="22"/>
        </w:rPr>
        <w:t>Designing high quality research in special education: Group experimental design.</w:t>
      </w:r>
      <w:proofErr w:type="gramEnd"/>
      <w:r w:rsidRPr="00FD750B">
        <w:rPr>
          <w:szCs w:val="22"/>
        </w:rPr>
        <w:t xml:space="preserve"> </w:t>
      </w:r>
      <w:r w:rsidRPr="00FD750B">
        <w:rPr>
          <w:i/>
          <w:iCs/>
          <w:szCs w:val="22"/>
        </w:rPr>
        <w:t>Journal of Special Education, 34</w:t>
      </w:r>
      <w:r w:rsidRPr="00FD750B">
        <w:rPr>
          <w:szCs w:val="22"/>
        </w:rPr>
        <w:t>(1), 2–18.</w:t>
      </w:r>
    </w:p>
    <w:p w:rsidR="00AC7A0C" w:rsidRPr="00FD750B" w:rsidRDefault="00AC7A0C" w:rsidP="00AC7A0C">
      <w:pPr>
        <w:ind w:left="720" w:hanging="720"/>
        <w:rPr>
          <w:szCs w:val="22"/>
        </w:rPr>
      </w:pPr>
      <w:proofErr w:type="spellStart"/>
      <w:proofErr w:type="gramStart"/>
      <w:r w:rsidRPr="00FD750B">
        <w:rPr>
          <w:szCs w:val="22"/>
        </w:rPr>
        <w:t>Gersten</w:t>
      </w:r>
      <w:proofErr w:type="spellEnd"/>
      <w:r w:rsidRPr="00FD750B">
        <w:rPr>
          <w:szCs w:val="22"/>
        </w:rPr>
        <w:t xml:space="preserve">, R., Fuchs, L. S., Compton, D., Coyne, M., Greenwood, C., &amp; </w:t>
      </w:r>
      <w:proofErr w:type="spellStart"/>
      <w:r w:rsidRPr="00FD750B">
        <w:rPr>
          <w:szCs w:val="22"/>
        </w:rPr>
        <w:t>Innocenti</w:t>
      </w:r>
      <w:proofErr w:type="spellEnd"/>
      <w:r w:rsidRPr="00FD750B">
        <w:rPr>
          <w:szCs w:val="22"/>
        </w:rPr>
        <w:t>, M. S. (2005).</w:t>
      </w:r>
      <w:proofErr w:type="gramEnd"/>
      <w:r w:rsidRPr="00FD750B">
        <w:rPr>
          <w:szCs w:val="22"/>
        </w:rPr>
        <w:t xml:space="preserve"> </w:t>
      </w:r>
      <w:proofErr w:type="gramStart"/>
      <w:r w:rsidRPr="00FD750B">
        <w:rPr>
          <w:szCs w:val="22"/>
        </w:rPr>
        <w:t>Quality indicators for group experimental and quasi-experimental research in special education.</w:t>
      </w:r>
      <w:proofErr w:type="gramEnd"/>
      <w:r w:rsidRPr="00FD750B">
        <w:rPr>
          <w:szCs w:val="22"/>
        </w:rPr>
        <w:t xml:space="preserve"> </w:t>
      </w:r>
      <w:r w:rsidRPr="00FD750B">
        <w:rPr>
          <w:i/>
          <w:iCs/>
          <w:szCs w:val="22"/>
        </w:rPr>
        <w:t>Exceptional Children</w:t>
      </w:r>
      <w:r w:rsidRPr="00FD750B">
        <w:rPr>
          <w:szCs w:val="22"/>
        </w:rPr>
        <w:t xml:space="preserve">, </w:t>
      </w:r>
      <w:r w:rsidRPr="00FD750B">
        <w:rPr>
          <w:i/>
          <w:iCs/>
          <w:szCs w:val="22"/>
        </w:rPr>
        <w:t>71</w:t>
      </w:r>
      <w:r w:rsidRPr="00FD750B">
        <w:rPr>
          <w:szCs w:val="22"/>
        </w:rPr>
        <w:t>(2), 149–164.</w:t>
      </w:r>
    </w:p>
    <w:p w:rsidR="00AC7A0C" w:rsidRPr="00FD750B" w:rsidRDefault="00AC7A0C" w:rsidP="00AC7A0C">
      <w:pPr>
        <w:ind w:left="720" w:hanging="720"/>
        <w:rPr>
          <w:szCs w:val="22"/>
        </w:rPr>
      </w:pPr>
      <w:r w:rsidRPr="00FD750B">
        <w:rPr>
          <w:szCs w:val="22"/>
        </w:rPr>
        <w:t xml:space="preserve">Jackson, P. W., &amp; </w:t>
      </w:r>
      <w:proofErr w:type="spellStart"/>
      <w:r w:rsidRPr="00FD750B">
        <w:rPr>
          <w:szCs w:val="22"/>
        </w:rPr>
        <w:t>Messick</w:t>
      </w:r>
      <w:proofErr w:type="spellEnd"/>
      <w:r w:rsidRPr="00FD750B">
        <w:rPr>
          <w:szCs w:val="22"/>
        </w:rPr>
        <w:t xml:space="preserve">, S. (1967). </w:t>
      </w:r>
      <w:proofErr w:type="gramStart"/>
      <w:r w:rsidRPr="00FD750B">
        <w:rPr>
          <w:i/>
          <w:szCs w:val="22"/>
        </w:rPr>
        <w:t>Creativity and learning</w:t>
      </w:r>
      <w:r w:rsidRPr="00FD750B">
        <w:rPr>
          <w:szCs w:val="22"/>
        </w:rPr>
        <w:t>.</w:t>
      </w:r>
      <w:proofErr w:type="gramEnd"/>
      <w:r w:rsidRPr="00FD750B">
        <w:rPr>
          <w:szCs w:val="22"/>
        </w:rPr>
        <w:t xml:space="preserve"> Boston, MA: Houghton Mifflin.</w:t>
      </w:r>
    </w:p>
    <w:p w:rsidR="00AC7A0C" w:rsidRPr="00FD750B" w:rsidRDefault="00AC7A0C" w:rsidP="00AC7A0C">
      <w:pPr>
        <w:ind w:left="720" w:hanging="720"/>
        <w:rPr>
          <w:szCs w:val="22"/>
        </w:rPr>
      </w:pPr>
      <w:proofErr w:type="spellStart"/>
      <w:r w:rsidRPr="00FD750B">
        <w:rPr>
          <w:szCs w:val="22"/>
        </w:rPr>
        <w:t>McAloone</w:t>
      </w:r>
      <w:proofErr w:type="spellEnd"/>
      <w:r w:rsidRPr="00FD750B">
        <w:rPr>
          <w:szCs w:val="22"/>
        </w:rPr>
        <w:t xml:space="preserve">, T. C. (2007). A competence-based approach to sustainable innovation teaching: Experiences within a new engineering program. </w:t>
      </w:r>
      <w:r w:rsidRPr="00FD750B">
        <w:rPr>
          <w:i/>
          <w:szCs w:val="22"/>
        </w:rPr>
        <w:t>Journal of Mechanical Design, 129</w:t>
      </w:r>
      <w:r w:rsidRPr="00FD750B">
        <w:rPr>
          <w:szCs w:val="22"/>
        </w:rPr>
        <w:t>(7), 769–778.</w:t>
      </w:r>
    </w:p>
    <w:p w:rsidR="00AC7A0C" w:rsidRPr="00FD750B" w:rsidRDefault="00AC7A0C" w:rsidP="00AC7A0C">
      <w:pPr>
        <w:ind w:left="720" w:hanging="720"/>
        <w:rPr>
          <w:szCs w:val="22"/>
        </w:rPr>
      </w:pPr>
      <w:proofErr w:type="spellStart"/>
      <w:r w:rsidRPr="00FD750B">
        <w:rPr>
          <w:szCs w:val="22"/>
        </w:rPr>
        <w:t>Mehan</w:t>
      </w:r>
      <w:proofErr w:type="spellEnd"/>
      <w:r w:rsidRPr="00FD750B">
        <w:rPr>
          <w:szCs w:val="22"/>
        </w:rPr>
        <w:t xml:space="preserve">, H. (1979). </w:t>
      </w:r>
      <w:r w:rsidRPr="00FD750B">
        <w:rPr>
          <w:i/>
          <w:iCs/>
          <w:szCs w:val="22"/>
        </w:rPr>
        <w:t>Learning lessons: Social organization in the classroom</w:t>
      </w:r>
      <w:r w:rsidRPr="00FD750B">
        <w:rPr>
          <w:szCs w:val="22"/>
        </w:rPr>
        <w:t>. Cambridge, MA: Harvard University Press.</w:t>
      </w:r>
    </w:p>
    <w:p w:rsidR="00AC7A0C" w:rsidRPr="00FD750B" w:rsidRDefault="00AC7A0C" w:rsidP="00AC7A0C">
      <w:pPr>
        <w:ind w:left="720" w:hanging="720"/>
        <w:rPr>
          <w:szCs w:val="22"/>
        </w:rPr>
      </w:pPr>
      <w:proofErr w:type="gramStart"/>
      <w:r w:rsidRPr="00FD750B">
        <w:rPr>
          <w:szCs w:val="22"/>
        </w:rPr>
        <w:t>Mumford, M. D., &amp; Simonton, D. K. (1997).</w:t>
      </w:r>
      <w:proofErr w:type="gramEnd"/>
      <w:r w:rsidRPr="00FD750B">
        <w:rPr>
          <w:szCs w:val="22"/>
        </w:rPr>
        <w:t xml:space="preserve"> Creativity in the workplace: People, problems, and structures. </w:t>
      </w:r>
      <w:r w:rsidRPr="00FD750B">
        <w:rPr>
          <w:i/>
          <w:szCs w:val="22"/>
        </w:rPr>
        <w:t>Journal of Creative Behavior, 31</w:t>
      </w:r>
      <w:r w:rsidRPr="00FD750B">
        <w:rPr>
          <w:szCs w:val="22"/>
        </w:rPr>
        <w:t>(1), 1–6.</w:t>
      </w:r>
    </w:p>
    <w:p w:rsidR="00AC7A0C" w:rsidRPr="00FD750B" w:rsidRDefault="00AC7A0C" w:rsidP="00AC7A0C">
      <w:pPr>
        <w:ind w:left="720" w:hanging="720"/>
        <w:rPr>
          <w:color w:val="222222"/>
          <w:szCs w:val="22"/>
        </w:rPr>
      </w:pPr>
      <w:proofErr w:type="spellStart"/>
      <w:proofErr w:type="gramStart"/>
      <w:r w:rsidRPr="00FD750B">
        <w:rPr>
          <w:color w:val="222222"/>
          <w:szCs w:val="22"/>
        </w:rPr>
        <w:t>Naderi</w:t>
      </w:r>
      <w:proofErr w:type="spellEnd"/>
      <w:r w:rsidRPr="00FD750B">
        <w:rPr>
          <w:color w:val="222222"/>
          <w:szCs w:val="22"/>
        </w:rPr>
        <w:t xml:space="preserve">, H. Abdullah, R., </w:t>
      </w:r>
      <w:proofErr w:type="spellStart"/>
      <w:r w:rsidRPr="00FD750B">
        <w:rPr>
          <w:color w:val="222222"/>
          <w:szCs w:val="22"/>
        </w:rPr>
        <w:t>Aizan</w:t>
      </w:r>
      <w:proofErr w:type="spellEnd"/>
      <w:r w:rsidRPr="00FD750B">
        <w:rPr>
          <w:color w:val="222222"/>
          <w:szCs w:val="22"/>
        </w:rPr>
        <w:t xml:space="preserve"> H. T., </w:t>
      </w:r>
      <w:proofErr w:type="spellStart"/>
      <w:r w:rsidRPr="00FD750B">
        <w:rPr>
          <w:color w:val="222222"/>
          <w:szCs w:val="22"/>
        </w:rPr>
        <w:t>Sharir</w:t>
      </w:r>
      <w:proofErr w:type="spellEnd"/>
      <w:r w:rsidRPr="00FD750B">
        <w:rPr>
          <w:color w:val="222222"/>
          <w:szCs w:val="22"/>
        </w:rPr>
        <w:t>, J., &amp; Kumar, V. (2010).</w:t>
      </w:r>
      <w:proofErr w:type="gramEnd"/>
      <w:r w:rsidRPr="00FD750B">
        <w:rPr>
          <w:color w:val="222222"/>
          <w:szCs w:val="22"/>
        </w:rPr>
        <w:t xml:space="preserve"> The relationship between creativity and academic achievement: A study of gender differences. </w:t>
      </w:r>
      <w:r w:rsidRPr="00FD750B">
        <w:rPr>
          <w:i/>
          <w:iCs/>
          <w:color w:val="222222"/>
          <w:szCs w:val="22"/>
        </w:rPr>
        <w:t>Journal of American Science, 6</w:t>
      </w:r>
      <w:r w:rsidRPr="00FD750B">
        <w:rPr>
          <w:color w:val="222222"/>
          <w:szCs w:val="22"/>
        </w:rPr>
        <w:t>(1), 181</w:t>
      </w:r>
      <w:r w:rsidRPr="00FD750B">
        <w:rPr>
          <w:szCs w:val="22"/>
        </w:rPr>
        <w:t>–</w:t>
      </w:r>
      <w:r w:rsidRPr="00FD750B">
        <w:rPr>
          <w:color w:val="222222"/>
          <w:szCs w:val="22"/>
        </w:rPr>
        <w:t xml:space="preserve">190. </w:t>
      </w:r>
    </w:p>
    <w:p w:rsidR="00AC7A0C" w:rsidRPr="00FD750B" w:rsidRDefault="00AC7A0C" w:rsidP="00AC7A0C">
      <w:pPr>
        <w:ind w:left="720" w:hanging="720"/>
        <w:rPr>
          <w:szCs w:val="22"/>
        </w:rPr>
      </w:pPr>
      <w:proofErr w:type="gramStart"/>
      <w:r w:rsidRPr="00FD750B">
        <w:rPr>
          <w:szCs w:val="22"/>
        </w:rPr>
        <w:t>National Research Council.</w:t>
      </w:r>
      <w:proofErr w:type="gramEnd"/>
      <w:r w:rsidRPr="00FD750B">
        <w:rPr>
          <w:szCs w:val="22"/>
        </w:rPr>
        <w:t xml:space="preserve"> </w:t>
      </w:r>
      <w:proofErr w:type="gramStart"/>
      <w:r w:rsidRPr="00FD750B">
        <w:rPr>
          <w:szCs w:val="22"/>
        </w:rPr>
        <w:t xml:space="preserve">(2002). </w:t>
      </w:r>
      <w:r w:rsidRPr="00FD750B">
        <w:rPr>
          <w:i/>
          <w:iCs/>
          <w:szCs w:val="22"/>
        </w:rPr>
        <w:t>Scientific research in education.</w:t>
      </w:r>
      <w:proofErr w:type="gramEnd"/>
      <w:r w:rsidRPr="00FD750B">
        <w:rPr>
          <w:szCs w:val="22"/>
        </w:rPr>
        <w:t xml:space="preserve"> </w:t>
      </w:r>
      <w:proofErr w:type="gramStart"/>
      <w:r w:rsidRPr="00FD750B">
        <w:rPr>
          <w:szCs w:val="22"/>
        </w:rPr>
        <w:t xml:space="preserve">In R. J. </w:t>
      </w:r>
      <w:proofErr w:type="spellStart"/>
      <w:r w:rsidRPr="00FD750B">
        <w:rPr>
          <w:szCs w:val="22"/>
        </w:rPr>
        <w:t>Shavelson</w:t>
      </w:r>
      <w:proofErr w:type="spellEnd"/>
      <w:r w:rsidRPr="00FD750B">
        <w:rPr>
          <w:szCs w:val="22"/>
        </w:rPr>
        <w:t xml:space="preserve"> &amp; L. Towne (Eds.), </w:t>
      </w:r>
      <w:r w:rsidRPr="00FD750B">
        <w:rPr>
          <w:i/>
          <w:iCs/>
          <w:szCs w:val="22"/>
        </w:rPr>
        <w:t>Committee on scientific principles for educational research</w:t>
      </w:r>
      <w:r w:rsidRPr="00FD750B">
        <w:rPr>
          <w:szCs w:val="22"/>
        </w:rPr>
        <w:t>.</w:t>
      </w:r>
      <w:proofErr w:type="gramEnd"/>
      <w:r w:rsidRPr="00FD750B">
        <w:rPr>
          <w:szCs w:val="22"/>
        </w:rPr>
        <w:t xml:space="preserve"> Washington, DC: National Academy Press.</w:t>
      </w:r>
    </w:p>
    <w:p w:rsidR="00AC7A0C" w:rsidRPr="00FD750B" w:rsidRDefault="00AC7A0C" w:rsidP="00AC7A0C">
      <w:pPr>
        <w:ind w:left="720" w:hanging="720"/>
        <w:rPr>
          <w:szCs w:val="22"/>
        </w:rPr>
      </w:pPr>
      <w:r w:rsidRPr="00FD750B">
        <w:rPr>
          <w:szCs w:val="22"/>
        </w:rPr>
        <w:t xml:space="preserve">Newell, R. J. (2003). </w:t>
      </w:r>
      <w:r w:rsidRPr="00FD750B">
        <w:rPr>
          <w:i/>
          <w:szCs w:val="22"/>
        </w:rPr>
        <w:t>Passion for learning: How project-based learning meets the needs of 21st-century students</w:t>
      </w:r>
      <w:r w:rsidRPr="00FD750B">
        <w:rPr>
          <w:szCs w:val="22"/>
        </w:rPr>
        <w:t>. Lanham, MD: Scarecrow Press.</w:t>
      </w:r>
    </w:p>
    <w:p w:rsidR="00AC7A0C" w:rsidRPr="00FD750B" w:rsidRDefault="00AC7A0C" w:rsidP="00AC7A0C">
      <w:pPr>
        <w:ind w:left="720" w:hanging="720"/>
        <w:rPr>
          <w:szCs w:val="22"/>
        </w:rPr>
      </w:pPr>
      <w:r w:rsidRPr="00FD750B">
        <w:rPr>
          <w:szCs w:val="22"/>
        </w:rPr>
        <w:t xml:space="preserve">Nickerson, R. S. (1999). </w:t>
      </w:r>
      <w:proofErr w:type="gramStart"/>
      <w:r w:rsidRPr="00FD750B">
        <w:rPr>
          <w:szCs w:val="22"/>
        </w:rPr>
        <w:t>Enhancing creativity.</w:t>
      </w:r>
      <w:proofErr w:type="gramEnd"/>
      <w:r w:rsidRPr="00FD750B">
        <w:rPr>
          <w:szCs w:val="22"/>
        </w:rPr>
        <w:t xml:space="preserve"> In R. J. Sternberg (Ed.), </w:t>
      </w:r>
      <w:proofErr w:type="gramStart"/>
      <w:r w:rsidRPr="00FD750B">
        <w:rPr>
          <w:i/>
          <w:iCs/>
          <w:szCs w:val="22"/>
        </w:rPr>
        <w:t>The</w:t>
      </w:r>
      <w:proofErr w:type="gramEnd"/>
      <w:r w:rsidRPr="00FD750B">
        <w:rPr>
          <w:i/>
          <w:iCs/>
          <w:szCs w:val="22"/>
        </w:rPr>
        <w:t xml:space="preserve"> handbook of creativity </w:t>
      </w:r>
      <w:r w:rsidRPr="00FD750B">
        <w:rPr>
          <w:szCs w:val="22"/>
        </w:rPr>
        <w:t>(pp. 392–430). New York, NY: Cambridge University Press.</w:t>
      </w:r>
    </w:p>
    <w:p w:rsidR="00AC7A0C" w:rsidRPr="00FD750B" w:rsidRDefault="00AC7A0C" w:rsidP="00AC7A0C">
      <w:pPr>
        <w:ind w:left="720" w:hanging="720"/>
        <w:rPr>
          <w:szCs w:val="22"/>
        </w:rPr>
      </w:pPr>
      <w:proofErr w:type="gramStart"/>
      <w:r w:rsidRPr="00FD750B">
        <w:rPr>
          <w:szCs w:val="22"/>
        </w:rPr>
        <w:t>OECD.</w:t>
      </w:r>
      <w:proofErr w:type="gramEnd"/>
      <w:r w:rsidRPr="00FD750B">
        <w:rPr>
          <w:szCs w:val="22"/>
        </w:rPr>
        <w:t xml:space="preserve"> (2004). </w:t>
      </w:r>
      <w:r w:rsidRPr="00FD750B">
        <w:rPr>
          <w:i/>
          <w:iCs/>
          <w:szCs w:val="22"/>
        </w:rPr>
        <w:t>Innovation in the knowledge economy: Implications for education and learning</w:t>
      </w:r>
      <w:r w:rsidRPr="00FD750B">
        <w:rPr>
          <w:szCs w:val="22"/>
        </w:rPr>
        <w:t xml:space="preserve">. Paris, France: OECD Publications. </w:t>
      </w:r>
    </w:p>
    <w:p w:rsidR="00AC7A0C" w:rsidRPr="00FD750B" w:rsidRDefault="00AC7A0C" w:rsidP="00AC7A0C">
      <w:pPr>
        <w:ind w:left="720" w:hanging="720"/>
        <w:rPr>
          <w:szCs w:val="22"/>
        </w:rPr>
      </w:pPr>
      <w:proofErr w:type="gramStart"/>
      <w:r w:rsidRPr="00FD750B">
        <w:rPr>
          <w:szCs w:val="22"/>
        </w:rPr>
        <w:t>OECD.</w:t>
      </w:r>
      <w:proofErr w:type="gramEnd"/>
      <w:r w:rsidRPr="00FD750B">
        <w:rPr>
          <w:szCs w:val="22"/>
        </w:rPr>
        <w:t xml:space="preserve"> </w:t>
      </w:r>
      <w:proofErr w:type="gramStart"/>
      <w:r w:rsidRPr="00FD750B">
        <w:rPr>
          <w:szCs w:val="22"/>
        </w:rPr>
        <w:t xml:space="preserve">(2008). </w:t>
      </w:r>
      <w:r w:rsidRPr="00FD750B">
        <w:rPr>
          <w:i/>
          <w:iCs/>
          <w:szCs w:val="22"/>
        </w:rPr>
        <w:t>Innovating to learn, learning to innovate</w:t>
      </w:r>
      <w:r w:rsidRPr="00FD750B">
        <w:rPr>
          <w:szCs w:val="22"/>
        </w:rPr>
        <w:t>.</w:t>
      </w:r>
      <w:proofErr w:type="gramEnd"/>
      <w:r w:rsidRPr="00FD750B">
        <w:rPr>
          <w:szCs w:val="22"/>
        </w:rPr>
        <w:t xml:space="preserve"> Paris, France: OECD.</w:t>
      </w:r>
    </w:p>
    <w:p w:rsidR="00AC7A0C" w:rsidRPr="00FD750B" w:rsidRDefault="00AC7A0C" w:rsidP="00AC7A0C">
      <w:pPr>
        <w:ind w:left="720" w:hanging="720"/>
        <w:rPr>
          <w:szCs w:val="22"/>
        </w:rPr>
      </w:pPr>
      <w:proofErr w:type="spellStart"/>
      <w:proofErr w:type="gramStart"/>
      <w:r w:rsidRPr="00FD750B">
        <w:rPr>
          <w:szCs w:val="22"/>
        </w:rPr>
        <w:t>Papert</w:t>
      </w:r>
      <w:proofErr w:type="spellEnd"/>
      <w:r w:rsidRPr="00FD750B">
        <w:rPr>
          <w:szCs w:val="22"/>
        </w:rPr>
        <w:t>, S. (1993).</w:t>
      </w:r>
      <w:proofErr w:type="gramEnd"/>
      <w:r w:rsidRPr="00FD750B">
        <w:rPr>
          <w:szCs w:val="22"/>
        </w:rPr>
        <w:t xml:space="preserve"> </w:t>
      </w:r>
      <w:r w:rsidRPr="00FD750B">
        <w:rPr>
          <w:i/>
          <w:iCs/>
          <w:szCs w:val="22"/>
        </w:rPr>
        <w:t>The children’s machine: Rethinking school in the age of the computer</w:t>
      </w:r>
      <w:r w:rsidRPr="00FD750B">
        <w:rPr>
          <w:szCs w:val="22"/>
        </w:rPr>
        <w:t>. New York, NY: Basic Books.</w:t>
      </w:r>
    </w:p>
    <w:p w:rsidR="00AC7A0C" w:rsidRPr="00FD750B" w:rsidRDefault="00AC7A0C" w:rsidP="00AC7A0C">
      <w:pPr>
        <w:ind w:left="720" w:hanging="720"/>
        <w:rPr>
          <w:szCs w:val="22"/>
        </w:rPr>
      </w:pPr>
      <w:proofErr w:type="spellStart"/>
      <w:r w:rsidRPr="00FD750B">
        <w:rPr>
          <w:szCs w:val="22"/>
        </w:rPr>
        <w:t>Rogoff</w:t>
      </w:r>
      <w:proofErr w:type="spellEnd"/>
      <w:r w:rsidRPr="00FD750B">
        <w:rPr>
          <w:szCs w:val="22"/>
        </w:rPr>
        <w:t xml:space="preserve">, B. (1990). </w:t>
      </w:r>
      <w:r w:rsidRPr="00FD750B">
        <w:rPr>
          <w:i/>
          <w:iCs/>
          <w:szCs w:val="22"/>
        </w:rPr>
        <w:t>Apprenticeship in thinking: Cognitive development in social context</w:t>
      </w:r>
      <w:r w:rsidRPr="00FD750B">
        <w:rPr>
          <w:szCs w:val="22"/>
        </w:rPr>
        <w:t>. New York, NY: Oxford University Press.</w:t>
      </w:r>
    </w:p>
    <w:p w:rsidR="00AC7A0C" w:rsidRPr="00FD750B" w:rsidRDefault="00AC7A0C" w:rsidP="00AC7A0C">
      <w:pPr>
        <w:ind w:left="720" w:hanging="720"/>
        <w:rPr>
          <w:szCs w:val="22"/>
        </w:rPr>
      </w:pPr>
      <w:proofErr w:type="spellStart"/>
      <w:r w:rsidRPr="00FD750B">
        <w:rPr>
          <w:szCs w:val="22"/>
        </w:rPr>
        <w:t>Runco</w:t>
      </w:r>
      <w:proofErr w:type="spellEnd"/>
      <w:r w:rsidRPr="00FD750B">
        <w:rPr>
          <w:szCs w:val="22"/>
        </w:rPr>
        <w:t xml:space="preserve">, M. A. (2004). </w:t>
      </w:r>
      <w:proofErr w:type="gramStart"/>
      <w:r w:rsidRPr="00FD750B">
        <w:rPr>
          <w:szCs w:val="22"/>
        </w:rPr>
        <w:t>Creativity.</w:t>
      </w:r>
      <w:proofErr w:type="gramEnd"/>
      <w:r w:rsidRPr="00FD750B">
        <w:rPr>
          <w:szCs w:val="22"/>
        </w:rPr>
        <w:t xml:space="preserve"> </w:t>
      </w:r>
      <w:r w:rsidRPr="00FD750B">
        <w:rPr>
          <w:i/>
          <w:szCs w:val="22"/>
        </w:rPr>
        <w:t>Annual Review of Psychology, 55</w:t>
      </w:r>
      <w:r w:rsidRPr="00FD750B">
        <w:rPr>
          <w:szCs w:val="22"/>
        </w:rPr>
        <w:t>, 657–687.</w:t>
      </w:r>
    </w:p>
    <w:p w:rsidR="00AC7A0C" w:rsidRPr="00FD750B" w:rsidRDefault="00AC7A0C" w:rsidP="00AC7A0C">
      <w:pPr>
        <w:ind w:left="720" w:hanging="720"/>
        <w:rPr>
          <w:szCs w:val="22"/>
        </w:rPr>
      </w:pPr>
      <w:proofErr w:type="gramStart"/>
      <w:r w:rsidRPr="00FD750B">
        <w:rPr>
          <w:szCs w:val="22"/>
        </w:rPr>
        <w:t>Sawyer, R. K. (2004).</w:t>
      </w:r>
      <w:proofErr w:type="gramEnd"/>
      <w:r w:rsidRPr="00FD750B">
        <w:rPr>
          <w:szCs w:val="22"/>
        </w:rPr>
        <w:t xml:space="preserve"> Creative teaching: Collaborative discussion as disciplined improvisation. </w:t>
      </w:r>
      <w:r w:rsidRPr="00FD750B">
        <w:rPr>
          <w:i/>
          <w:szCs w:val="22"/>
        </w:rPr>
        <w:t>Ed</w:t>
      </w:r>
      <w:r w:rsidRPr="00FD750B">
        <w:rPr>
          <w:i/>
          <w:iCs/>
          <w:szCs w:val="22"/>
        </w:rPr>
        <w:t>ucational Researcher, 33</w:t>
      </w:r>
      <w:r w:rsidRPr="00FD750B">
        <w:rPr>
          <w:szCs w:val="22"/>
        </w:rPr>
        <w:t>(2), 12–20.</w:t>
      </w:r>
    </w:p>
    <w:p w:rsidR="00AC7A0C" w:rsidRPr="00FD750B" w:rsidRDefault="00AC7A0C" w:rsidP="00AC7A0C">
      <w:pPr>
        <w:ind w:left="720" w:hanging="720"/>
        <w:rPr>
          <w:szCs w:val="22"/>
        </w:rPr>
      </w:pPr>
      <w:proofErr w:type="gramStart"/>
      <w:r w:rsidRPr="00FD750B">
        <w:rPr>
          <w:szCs w:val="22"/>
        </w:rPr>
        <w:t>Sawyer, R. K. (2006).</w:t>
      </w:r>
      <w:proofErr w:type="gramEnd"/>
      <w:r w:rsidRPr="00FD750B">
        <w:rPr>
          <w:szCs w:val="22"/>
        </w:rPr>
        <w:t xml:space="preserve"> </w:t>
      </w:r>
      <w:proofErr w:type="gramStart"/>
      <w:r w:rsidRPr="00FD750B">
        <w:rPr>
          <w:szCs w:val="22"/>
        </w:rPr>
        <w:t>Educating for innovation.</w:t>
      </w:r>
      <w:proofErr w:type="gramEnd"/>
      <w:r w:rsidRPr="00FD750B">
        <w:rPr>
          <w:szCs w:val="22"/>
        </w:rPr>
        <w:t xml:space="preserve"> </w:t>
      </w:r>
      <w:proofErr w:type="gramStart"/>
      <w:r w:rsidRPr="00FD750B">
        <w:rPr>
          <w:i/>
          <w:iCs/>
          <w:szCs w:val="22"/>
        </w:rPr>
        <w:t>The International Journal of Thinking Skills and Creativity, 1</w:t>
      </w:r>
      <w:r w:rsidRPr="00FD750B">
        <w:rPr>
          <w:szCs w:val="22"/>
        </w:rPr>
        <w:t>(1), 41–48.</w:t>
      </w:r>
      <w:proofErr w:type="gramEnd"/>
    </w:p>
    <w:p w:rsidR="00AC7A0C" w:rsidRPr="00FD750B" w:rsidRDefault="00AC7A0C" w:rsidP="00AC7A0C">
      <w:pPr>
        <w:ind w:left="720" w:hanging="720"/>
        <w:rPr>
          <w:szCs w:val="22"/>
        </w:rPr>
      </w:pPr>
      <w:proofErr w:type="gramStart"/>
      <w:r w:rsidRPr="00FD750B">
        <w:rPr>
          <w:szCs w:val="22"/>
        </w:rPr>
        <w:t>Sawyer, R. K. (2012).</w:t>
      </w:r>
      <w:proofErr w:type="gramEnd"/>
      <w:r w:rsidRPr="00FD750B">
        <w:rPr>
          <w:szCs w:val="22"/>
        </w:rPr>
        <w:t xml:space="preserve"> </w:t>
      </w:r>
      <w:r w:rsidRPr="00FD750B">
        <w:rPr>
          <w:i/>
          <w:iCs/>
          <w:szCs w:val="22"/>
        </w:rPr>
        <w:t xml:space="preserve">Explaining creativity: The science of human innovation </w:t>
      </w:r>
      <w:r w:rsidRPr="00FD750B">
        <w:rPr>
          <w:iCs/>
          <w:szCs w:val="22"/>
        </w:rPr>
        <w:t xml:space="preserve">(2nd </w:t>
      </w:r>
      <w:proofErr w:type="gramStart"/>
      <w:r w:rsidRPr="00FD750B">
        <w:rPr>
          <w:iCs/>
          <w:szCs w:val="22"/>
        </w:rPr>
        <w:t>ed</w:t>
      </w:r>
      <w:proofErr w:type="gramEnd"/>
      <w:r w:rsidRPr="00FD750B">
        <w:rPr>
          <w:iCs/>
          <w:szCs w:val="22"/>
        </w:rPr>
        <w:t>.)</w:t>
      </w:r>
      <w:r w:rsidRPr="00FD750B">
        <w:rPr>
          <w:szCs w:val="22"/>
        </w:rPr>
        <w:t>. New York, NY: Oxford University Press.</w:t>
      </w:r>
    </w:p>
    <w:p w:rsidR="00AC7A0C" w:rsidRPr="00FD750B" w:rsidRDefault="00AC7A0C" w:rsidP="00AC7A0C">
      <w:pPr>
        <w:ind w:left="720" w:hanging="720"/>
        <w:rPr>
          <w:szCs w:val="22"/>
        </w:rPr>
      </w:pPr>
      <w:proofErr w:type="gramStart"/>
      <w:r w:rsidRPr="00FD750B">
        <w:rPr>
          <w:szCs w:val="22"/>
        </w:rPr>
        <w:t>Sawyer, R. K. (in press).</w:t>
      </w:r>
      <w:proofErr w:type="gramEnd"/>
      <w:r w:rsidRPr="00FD750B">
        <w:rPr>
          <w:szCs w:val="22"/>
        </w:rPr>
        <w:t xml:space="preserve"> A call to action: The challenges of creative teaching and learning. </w:t>
      </w:r>
      <w:proofErr w:type="gramStart"/>
      <w:r w:rsidRPr="00FD750B">
        <w:rPr>
          <w:i/>
          <w:szCs w:val="22"/>
        </w:rPr>
        <w:t>T</w:t>
      </w:r>
      <w:r w:rsidRPr="00FD750B">
        <w:rPr>
          <w:i/>
          <w:iCs/>
          <w:szCs w:val="22"/>
        </w:rPr>
        <w:t>eachers College Record.</w:t>
      </w:r>
      <w:proofErr w:type="gramEnd"/>
      <w:r w:rsidRPr="00FD750B">
        <w:rPr>
          <w:i/>
          <w:iCs/>
          <w:szCs w:val="22"/>
        </w:rPr>
        <w:t xml:space="preserve"> </w:t>
      </w:r>
    </w:p>
    <w:p w:rsidR="00AC7A0C" w:rsidRPr="00FD750B" w:rsidRDefault="00AC7A0C" w:rsidP="00AC7A0C">
      <w:pPr>
        <w:ind w:left="720" w:hanging="720"/>
        <w:rPr>
          <w:szCs w:val="22"/>
        </w:rPr>
      </w:pPr>
      <w:proofErr w:type="gramStart"/>
      <w:r w:rsidRPr="00FD750B">
        <w:rPr>
          <w:szCs w:val="22"/>
        </w:rPr>
        <w:t xml:space="preserve">Scott, G., </w:t>
      </w:r>
      <w:proofErr w:type="spellStart"/>
      <w:r w:rsidRPr="00FD750B">
        <w:rPr>
          <w:szCs w:val="22"/>
        </w:rPr>
        <w:t>Leritz</w:t>
      </w:r>
      <w:proofErr w:type="spellEnd"/>
      <w:r w:rsidRPr="00FD750B">
        <w:rPr>
          <w:szCs w:val="22"/>
        </w:rPr>
        <w:t>, L. E., &amp; Mumford, M. D. (2004).</w:t>
      </w:r>
      <w:proofErr w:type="gramEnd"/>
      <w:r w:rsidRPr="00FD750B">
        <w:rPr>
          <w:szCs w:val="22"/>
        </w:rPr>
        <w:t xml:space="preserve"> The effectiveness of creativity training: A quantitative review. </w:t>
      </w:r>
      <w:r w:rsidRPr="00FD750B">
        <w:rPr>
          <w:i/>
          <w:iCs/>
          <w:szCs w:val="22"/>
        </w:rPr>
        <w:t>Creativity Research Journal, 16</w:t>
      </w:r>
      <w:r w:rsidRPr="00FD750B">
        <w:rPr>
          <w:szCs w:val="22"/>
        </w:rPr>
        <w:t>(4), 361–388.</w:t>
      </w:r>
    </w:p>
    <w:p w:rsidR="00AC7A0C" w:rsidRPr="00FD750B" w:rsidRDefault="00AC7A0C" w:rsidP="00AC7A0C">
      <w:pPr>
        <w:ind w:left="720" w:hanging="720"/>
        <w:rPr>
          <w:szCs w:val="22"/>
        </w:rPr>
      </w:pPr>
      <w:proofErr w:type="spellStart"/>
      <w:proofErr w:type="gramStart"/>
      <w:r w:rsidRPr="00FD750B">
        <w:rPr>
          <w:szCs w:val="22"/>
        </w:rPr>
        <w:t>Shadish</w:t>
      </w:r>
      <w:proofErr w:type="spellEnd"/>
      <w:r w:rsidRPr="00FD750B">
        <w:rPr>
          <w:szCs w:val="22"/>
        </w:rPr>
        <w:t>, W.R., Cook, T.D., &amp; Campbell, D.T. (2002).</w:t>
      </w:r>
      <w:proofErr w:type="gramEnd"/>
      <w:r w:rsidRPr="00FD750B">
        <w:rPr>
          <w:szCs w:val="22"/>
        </w:rPr>
        <w:t xml:space="preserve"> </w:t>
      </w:r>
      <w:proofErr w:type="gramStart"/>
      <w:r w:rsidRPr="00FD750B">
        <w:rPr>
          <w:szCs w:val="22"/>
        </w:rPr>
        <w:t>Experimental and quasi-experimental designs for generalized causal inference.</w:t>
      </w:r>
      <w:proofErr w:type="gramEnd"/>
      <w:r w:rsidRPr="00FD750B">
        <w:rPr>
          <w:szCs w:val="22"/>
        </w:rPr>
        <w:t xml:space="preserve"> Boston, MA: Houghton-Mifflin. </w:t>
      </w:r>
    </w:p>
    <w:p w:rsidR="00AC7A0C" w:rsidRPr="00FD750B" w:rsidRDefault="00AC7A0C" w:rsidP="00AC7A0C">
      <w:pPr>
        <w:ind w:left="720" w:hanging="720"/>
        <w:rPr>
          <w:szCs w:val="22"/>
        </w:rPr>
      </w:pPr>
      <w:proofErr w:type="gramStart"/>
      <w:r w:rsidRPr="00FD750B">
        <w:rPr>
          <w:szCs w:val="22"/>
        </w:rPr>
        <w:t xml:space="preserve">Sinclair, J. M., &amp; </w:t>
      </w:r>
      <w:proofErr w:type="spellStart"/>
      <w:r w:rsidRPr="00FD750B">
        <w:rPr>
          <w:szCs w:val="22"/>
        </w:rPr>
        <w:t>Coulthard</w:t>
      </w:r>
      <w:proofErr w:type="spellEnd"/>
      <w:r w:rsidRPr="00FD750B">
        <w:rPr>
          <w:szCs w:val="22"/>
        </w:rPr>
        <w:t>, M. (1975).</w:t>
      </w:r>
      <w:proofErr w:type="gramEnd"/>
      <w:r w:rsidRPr="00FD750B">
        <w:rPr>
          <w:szCs w:val="22"/>
        </w:rPr>
        <w:t xml:space="preserve"> </w:t>
      </w:r>
      <w:r w:rsidRPr="00FD750B">
        <w:rPr>
          <w:i/>
          <w:iCs/>
          <w:szCs w:val="22"/>
        </w:rPr>
        <w:t>Towards an analysis of discourse: The English used by teachers and pupils</w:t>
      </w:r>
      <w:r w:rsidRPr="00FD750B">
        <w:rPr>
          <w:szCs w:val="22"/>
        </w:rPr>
        <w:t>. London, England: Oxford University Press.</w:t>
      </w:r>
    </w:p>
    <w:p w:rsidR="00AC7A0C" w:rsidRPr="00FD750B" w:rsidRDefault="00AC7A0C" w:rsidP="00AC7A0C">
      <w:pPr>
        <w:ind w:left="720" w:hanging="720"/>
        <w:rPr>
          <w:szCs w:val="22"/>
        </w:rPr>
      </w:pPr>
      <w:proofErr w:type="gramStart"/>
      <w:r w:rsidRPr="00FD750B">
        <w:rPr>
          <w:szCs w:val="22"/>
        </w:rPr>
        <w:t>Smoot, D. C. (2006).</w:t>
      </w:r>
      <w:proofErr w:type="gramEnd"/>
      <w:r w:rsidRPr="00FD750B">
        <w:rPr>
          <w:szCs w:val="22"/>
        </w:rPr>
        <w:t xml:space="preserve"> </w:t>
      </w:r>
      <w:proofErr w:type="gramStart"/>
      <w:r w:rsidRPr="00FD750B">
        <w:rPr>
          <w:szCs w:val="22"/>
        </w:rPr>
        <w:t>Product and process of innovation.</w:t>
      </w:r>
      <w:proofErr w:type="gramEnd"/>
      <w:r w:rsidRPr="00FD750B">
        <w:rPr>
          <w:szCs w:val="22"/>
        </w:rPr>
        <w:t xml:space="preserve"> </w:t>
      </w:r>
      <w:r w:rsidRPr="00FD750B">
        <w:rPr>
          <w:i/>
          <w:szCs w:val="22"/>
        </w:rPr>
        <w:t>Journal of Advanced Materials, 38</w:t>
      </w:r>
      <w:r w:rsidRPr="00FD750B">
        <w:rPr>
          <w:szCs w:val="22"/>
        </w:rPr>
        <w:t>(2), 64–79.</w:t>
      </w:r>
    </w:p>
    <w:p w:rsidR="00AC7A0C" w:rsidRPr="00FD750B" w:rsidRDefault="00AC7A0C" w:rsidP="00AC7A0C">
      <w:pPr>
        <w:ind w:left="720" w:hanging="720"/>
        <w:rPr>
          <w:szCs w:val="22"/>
        </w:rPr>
      </w:pPr>
      <w:proofErr w:type="gramStart"/>
      <w:r w:rsidRPr="00FD750B">
        <w:rPr>
          <w:szCs w:val="22"/>
        </w:rPr>
        <w:t>Sternberg, R. J., &amp; Williams, W. M. (1996).</w:t>
      </w:r>
      <w:proofErr w:type="gramEnd"/>
      <w:r w:rsidRPr="00FD750B">
        <w:rPr>
          <w:szCs w:val="22"/>
        </w:rPr>
        <w:t xml:space="preserve"> </w:t>
      </w:r>
      <w:proofErr w:type="gramStart"/>
      <w:r w:rsidRPr="00FD750B">
        <w:rPr>
          <w:i/>
          <w:iCs/>
          <w:szCs w:val="22"/>
        </w:rPr>
        <w:t>How to develop student creativity</w:t>
      </w:r>
      <w:r w:rsidRPr="00FD750B">
        <w:rPr>
          <w:szCs w:val="22"/>
        </w:rPr>
        <w:t>.</w:t>
      </w:r>
      <w:proofErr w:type="gramEnd"/>
      <w:r w:rsidRPr="00FD750B">
        <w:rPr>
          <w:szCs w:val="22"/>
        </w:rPr>
        <w:t xml:space="preserve"> Alexandria, VA: Association for Supervision and Curriculum Development.</w:t>
      </w:r>
    </w:p>
    <w:p w:rsidR="00AC7A0C" w:rsidRPr="00FD750B" w:rsidRDefault="00AC7A0C" w:rsidP="00AC7A0C">
      <w:pPr>
        <w:ind w:left="720" w:hanging="720"/>
        <w:rPr>
          <w:szCs w:val="22"/>
        </w:rPr>
      </w:pPr>
      <w:proofErr w:type="gramStart"/>
      <w:r w:rsidRPr="00FD750B">
        <w:rPr>
          <w:szCs w:val="22"/>
        </w:rPr>
        <w:t>Strom, R., &amp; Strom, P. (2002).</w:t>
      </w:r>
      <w:proofErr w:type="gramEnd"/>
      <w:r w:rsidRPr="00FD750B">
        <w:rPr>
          <w:szCs w:val="22"/>
        </w:rPr>
        <w:t xml:space="preserve"> </w:t>
      </w:r>
      <w:proofErr w:type="gramStart"/>
      <w:r w:rsidRPr="00FD750B">
        <w:rPr>
          <w:szCs w:val="22"/>
        </w:rPr>
        <w:t>Changing the rules: Education for creative thinking.</w:t>
      </w:r>
      <w:proofErr w:type="gramEnd"/>
      <w:r w:rsidRPr="00FD750B">
        <w:rPr>
          <w:szCs w:val="22"/>
        </w:rPr>
        <w:t xml:space="preserve"> </w:t>
      </w:r>
      <w:r w:rsidRPr="00FD750B">
        <w:rPr>
          <w:i/>
          <w:szCs w:val="22"/>
        </w:rPr>
        <w:t>J</w:t>
      </w:r>
      <w:r w:rsidRPr="00FD750B">
        <w:rPr>
          <w:i/>
          <w:iCs/>
          <w:szCs w:val="22"/>
        </w:rPr>
        <w:t>ournal of Creative Behavior, 36</w:t>
      </w:r>
      <w:r w:rsidRPr="00FD750B">
        <w:rPr>
          <w:szCs w:val="22"/>
        </w:rPr>
        <w:t>(3), 183–200.</w:t>
      </w:r>
    </w:p>
    <w:p w:rsidR="00AC7A0C" w:rsidRPr="00FD750B" w:rsidRDefault="00AC7A0C" w:rsidP="00AC7A0C">
      <w:pPr>
        <w:ind w:left="720" w:hanging="720"/>
        <w:rPr>
          <w:szCs w:val="22"/>
        </w:rPr>
      </w:pPr>
      <w:proofErr w:type="gramStart"/>
      <w:r w:rsidRPr="00FD750B">
        <w:rPr>
          <w:szCs w:val="22"/>
        </w:rPr>
        <w:t xml:space="preserve">Todd, R. H., &amp; </w:t>
      </w:r>
      <w:proofErr w:type="spellStart"/>
      <w:r w:rsidRPr="00FD750B">
        <w:rPr>
          <w:szCs w:val="22"/>
        </w:rPr>
        <w:t>Magleby</w:t>
      </w:r>
      <w:proofErr w:type="spellEnd"/>
      <w:r w:rsidRPr="00FD750B">
        <w:rPr>
          <w:szCs w:val="22"/>
        </w:rPr>
        <w:t>, S. P. (2004).</w:t>
      </w:r>
      <w:proofErr w:type="gramEnd"/>
      <w:r w:rsidRPr="00FD750B">
        <w:rPr>
          <w:szCs w:val="22"/>
        </w:rPr>
        <w:t xml:space="preserve"> Evaluation and rewards for faculty involved in engineering design education. </w:t>
      </w:r>
      <w:r w:rsidRPr="00FD750B">
        <w:rPr>
          <w:i/>
          <w:szCs w:val="22"/>
        </w:rPr>
        <w:t>International Journal of Engineering Education, 20</w:t>
      </w:r>
      <w:r w:rsidRPr="00FD750B">
        <w:rPr>
          <w:szCs w:val="22"/>
        </w:rPr>
        <w:t xml:space="preserve">(3), 333–340. </w:t>
      </w:r>
    </w:p>
    <w:p w:rsidR="00AC7A0C" w:rsidRPr="00FD750B" w:rsidRDefault="00AC7A0C" w:rsidP="00AC7A0C">
      <w:pPr>
        <w:ind w:left="720" w:hanging="720"/>
        <w:rPr>
          <w:szCs w:val="22"/>
        </w:rPr>
      </w:pPr>
      <w:r w:rsidRPr="00FD750B">
        <w:rPr>
          <w:szCs w:val="22"/>
        </w:rPr>
        <w:t xml:space="preserve">Torrance, E. P. (1972). Can we teach children to think creatively? </w:t>
      </w:r>
      <w:r w:rsidRPr="00FD750B">
        <w:rPr>
          <w:i/>
          <w:iCs/>
          <w:szCs w:val="22"/>
        </w:rPr>
        <w:t>Journal of Creative Behavior, 6</w:t>
      </w:r>
      <w:r w:rsidRPr="00FD750B">
        <w:rPr>
          <w:szCs w:val="22"/>
        </w:rPr>
        <w:t>(2), 114–143.</w:t>
      </w:r>
    </w:p>
    <w:p w:rsidR="00AC7A0C" w:rsidRPr="00FD750B" w:rsidRDefault="00AC7A0C" w:rsidP="00AC7A0C">
      <w:pPr>
        <w:ind w:left="720" w:hanging="720"/>
        <w:rPr>
          <w:szCs w:val="22"/>
        </w:rPr>
      </w:pPr>
      <w:r w:rsidRPr="00FD750B">
        <w:rPr>
          <w:szCs w:val="22"/>
        </w:rPr>
        <w:t xml:space="preserve">Torrance, E. P. (1974). </w:t>
      </w:r>
      <w:r w:rsidRPr="00FD750B">
        <w:rPr>
          <w:i/>
          <w:iCs/>
          <w:szCs w:val="22"/>
        </w:rPr>
        <w:t>The Torrance Tests of Creative Thinking: Norms-technical manual</w:t>
      </w:r>
      <w:r w:rsidRPr="00FD750B">
        <w:rPr>
          <w:szCs w:val="22"/>
        </w:rPr>
        <w:t>. Princeton, NJ: Personal Press.</w:t>
      </w:r>
    </w:p>
    <w:p w:rsidR="00AC7A0C" w:rsidRPr="00FD750B" w:rsidRDefault="00AC7A0C" w:rsidP="00AC7A0C">
      <w:pPr>
        <w:ind w:left="720" w:hanging="720"/>
        <w:rPr>
          <w:szCs w:val="22"/>
        </w:rPr>
      </w:pPr>
      <w:r w:rsidRPr="00FD750B">
        <w:rPr>
          <w:szCs w:val="22"/>
        </w:rPr>
        <w:t xml:space="preserve">Torrance, E. P. (1981). </w:t>
      </w:r>
      <w:proofErr w:type="gramStart"/>
      <w:r w:rsidRPr="00FD750B">
        <w:rPr>
          <w:szCs w:val="22"/>
        </w:rPr>
        <w:t>Empirical validation of criterion-referenced indicators of creative ability through a longitudinal study.</w:t>
      </w:r>
      <w:proofErr w:type="gramEnd"/>
      <w:r w:rsidRPr="00FD750B">
        <w:rPr>
          <w:szCs w:val="22"/>
        </w:rPr>
        <w:t xml:space="preserve"> </w:t>
      </w:r>
      <w:r w:rsidRPr="00FD750B">
        <w:rPr>
          <w:i/>
          <w:iCs/>
          <w:szCs w:val="22"/>
        </w:rPr>
        <w:t>Creative Child &amp; Adult Quarterly, 6</w:t>
      </w:r>
      <w:r w:rsidRPr="00FD750B">
        <w:rPr>
          <w:szCs w:val="22"/>
        </w:rPr>
        <w:t xml:space="preserve">(3), 136–140. </w:t>
      </w:r>
    </w:p>
    <w:p w:rsidR="00AC7A0C" w:rsidRPr="00FD750B" w:rsidRDefault="00AC7A0C" w:rsidP="00AC7A0C">
      <w:pPr>
        <w:ind w:left="720" w:hanging="720"/>
        <w:rPr>
          <w:szCs w:val="22"/>
        </w:rPr>
      </w:pPr>
      <w:proofErr w:type="gramStart"/>
      <w:r w:rsidRPr="00FD750B">
        <w:rPr>
          <w:szCs w:val="22"/>
        </w:rPr>
        <w:t>Torrance ,</w:t>
      </w:r>
      <w:proofErr w:type="gramEnd"/>
      <w:r w:rsidRPr="00FD750B">
        <w:rPr>
          <w:szCs w:val="22"/>
        </w:rPr>
        <w:t xml:space="preserve"> E. P. (2008). </w:t>
      </w:r>
      <w:r w:rsidRPr="00FD750B">
        <w:rPr>
          <w:i/>
          <w:iCs/>
          <w:szCs w:val="22"/>
        </w:rPr>
        <w:t>The Torrance Tests of Creative Thinking: Norms-technical manual figural (streamlined) forms A and B</w:t>
      </w:r>
      <w:r w:rsidRPr="00FD750B">
        <w:rPr>
          <w:szCs w:val="22"/>
        </w:rPr>
        <w:t>. Bensenville, IL: Scholastic Testing Service.</w:t>
      </w:r>
    </w:p>
    <w:p w:rsidR="00AC7A0C" w:rsidRPr="00FD750B" w:rsidRDefault="00AC7A0C" w:rsidP="00AC7A0C">
      <w:pPr>
        <w:ind w:left="720" w:hanging="720"/>
        <w:rPr>
          <w:szCs w:val="22"/>
        </w:rPr>
      </w:pPr>
      <w:proofErr w:type="spellStart"/>
      <w:proofErr w:type="gramStart"/>
      <w:r w:rsidRPr="00FD750B">
        <w:rPr>
          <w:szCs w:val="22"/>
        </w:rPr>
        <w:t>Waring</w:t>
      </w:r>
      <w:proofErr w:type="spellEnd"/>
      <w:r w:rsidRPr="00FD750B">
        <w:rPr>
          <w:szCs w:val="22"/>
        </w:rPr>
        <w:t>, H. Z. (2009.)</w:t>
      </w:r>
      <w:proofErr w:type="gramEnd"/>
      <w:r w:rsidRPr="00FD750B">
        <w:rPr>
          <w:szCs w:val="22"/>
        </w:rPr>
        <w:t xml:space="preserve"> </w:t>
      </w:r>
      <w:proofErr w:type="gramStart"/>
      <w:r w:rsidRPr="00FD750B">
        <w:rPr>
          <w:szCs w:val="22"/>
        </w:rPr>
        <w:t>Moving out of IRF (Initiation-Response-Feedback): A single-case analysis.</w:t>
      </w:r>
      <w:proofErr w:type="gramEnd"/>
      <w:r w:rsidRPr="00FD750B">
        <w:rPr>
          <w:szCs w:val="22"/>
        </w:rPr>
        <w:t xml:space="preserve"> </w:t>
      </w:r>
      <w:r w:rsidRPr="00FD750B">
        <w:rPr>
          <w:i/>
          <w:iCs/>
          <w:szCs w:val="22"/>
        </w:rPr>
        <w:t>Language Learning, 59</w:t>
      </w:r>
      <w:r w:rsidRPr="00FD750B">
        <w:rPr>
          <w:szCs w:val="22"/>
        </w:rPr>
        <w:t xml:space="preserve">(4), 796–824. </w:t>
      </w:r>
    </w:p>
    <w:p w:rsidR="00AC7A0C" w:rsidRPr="00FD750B" w:rsidRDefault="00AC7A0C" w:rsidP="00AC7A0C">
      <w:pPr>
        <w:ind w:left="720" w:hanging="720"/>
        <w:rPr>
          <w:szCs w:val="22"/>
        </w:rPr>
      </w:pPr>
      <w:r w:rsidRPr="00FD750B">
        <w:rPr>
          <w:szCs w:val="22"/>
        </w:rPr>
        <w:t xml:space="preserve">West, R. E., </w:t>
      </w:r>
      <w:proofErr w:type="spellStart"/>
      <w:r w:rsidRPr="00FD750B">
        <w:rPr>
          <w:szCs w:val="22"/>
        </w:rPr>
        <w:t>Tateishi</w:t>
      </w:r>
      <w:proofErr w:type="spellEnd"/>
      <w:r w:rsidRPr="00FD750B">
        <w:rPr>
          <w:szCs w:val="22"/>
        </w:rPr>
        <w:t xml:space="preserve">, I., Wright, G. A., &amp; </w:t>
      </w:r>
      <w:proofErr w:type="spellStart"/>
      <w:r w:rsidRPr="00FD750B">
        <w:rPr>
          <w:szCs w:val="22"/>
        </w:rPr>
        <w:t>Fonoimoana</w:t>
      </w:r>
      <w:proofErr w:type="spellEnd"/>
      <w:r w:rsidRPr="00FD750B">
        <w:rPr>
          <w:szCs w:val="22"/>
        </w:rPr>
        <w:t xml:space="preserve">, M. (in press). Innovation 101: Promoting undergraduate innovation through a two-day boot camp. </w:t>
      </w:r>
      <w:proofErr w:type="gramStart"/>
      <w:r w:rsidRPr="00FD750B">
        <w:rPr>
          <w:i/>
          <w:iCs/>
          <w:szCs w:val="22"/>
        </w:rPr>
        <w:t>Creativity Research Journal</w:t>
      </w:r>
      <w:r w:rsidR="00FD750B">
        <w:rPr>
          <w:i/>
          <w:iCs/>
          <w:szCs w:val="22"/>
        </w:rPr>
        <w:t xml:space="preserve">, </w:t>
      </w:r>
      <w:r w:rsidR="00FD750B" w:rsidRPr="00FD750B">
        <w:rPr>
          <w:iCs/>
          <w:szCs w:val="22"/>
        </w:rPr>
        <w:t>Taylor &amp; Francis Online.</w:t>
      </w:r>
      <w:proofErr w:type="gramEnd"/>
    </w:p>
    <w:p w:rsidR="00FD750B" w:rsidRPr="00FD750B" w:rsidRDefault="00FD750B" w:rsidP="00AC7A0C">
      <w:pPr>
        <w:ind w:left="720" w:hanging="720"/>
        <w:rPr>
          <w:szCs w:val="22"/>
        </w:rPr>
      </w:pPr>
    </w:p>
    <w:p w:rsidR="00AC7A0C" w:rsidRDefault="00AC7A0C" w:rsidP="00AC7A0C">
      <w:pPr>
        <w:pStyle w:val="Heading3"/>
      </w:pPr>
      <w:r>
        <w:t>About the Authors</w:t>
      </w:r>
    </w:p>
    <w:p w:rsidR="00AC7A0C" w:rsidRDefault="00AC7A0C" w:rsidP="00AC7A0C">
      <w:pPr>
        <w:rPr>
          <w:rFonts w:ascii="Times New Roman" w:hAnsi="Times New Roman"/>
          <w:sz w:val="24"/>
          <w:szCs w:val="24"/>
        </w:rPr>
      </w:pPr>
      <w:r w:rsidRPr="006C48E0">
        <w:rPr>
          <w:rFonts w:ascii="Arial" w:hAnsi="Arial" w:cs="Arial"/>
          <w:b/>
          <w:sz w:val="24"/>
          <w:szCs w:val="24"/>
        </w:rPr>
        <w:t xml:space="preserve">Eric C. </w:t>
      </w:r>
      <w:proofErr w:type="spellStart"/>
      <w:r w:rsidRPr="006C48E0">
        <w:rPr>
          <w:rFonts w:ascii="Arial" w:hAnsi="Arial" w:cs="Arial"/>
          <w:b/>
          <w:sz w:val="24"/>
          <w:szCs w:val="24"/>
        </w:rPr>
        <w:t>Dahlin</w:t>
      </w:r>
      <w:proofErr w:type="spellEnd"/>
      <w:r>
        <w:rPr>
          <w:rFonts w:ascii="Times New Roman" w:hAnsi="Times New Roman"/>
          <w:sz w:val="24"/>
          <w:szCs w:val="24"/>
        </w:rPr>
        <w:t xml:space="preserve"> is an assistant professor of sociology at Brigham Young University, Provo, Utah.</w:t>
      </w:r>
    </w:p>
    <w:p w:rsidR="00AC7A0C" w:rsidRDefault="00AC7A0C" w:rsidP="00AC7A0C">
      <w:pPr>
        <w:rPr>
          <w:rFonts w:ascii="Times New Roman" w:hAnsi="Times New Roman"/>
          <w:sz w:val="24"/>
          <w:szCs w:val="24"/>
        </w:rPr>
      </w:pPr>
      <w:proofErr w:type="gramStart"/>
      <w:r>
        <w:rPr>
          <w:rFonts w:ascii="Times New Roman" w:hAnsi="Times New Roman"/>
          <w:sz w:val="24"/>
          <w:szCs w:val="24"/>
        </w:rPr>
        <w:t>e-mail</w:t>
      </w:r>
      <w:proofErr w:type="gramEnd"/>
      <w:r>
        <w:rPr>
          <w:rFonts w:ascii="Times New Roman" w:hAnsi="Times New Roman"/>
          <w:sz w:val="24"/>
          <w:szCs w:val="24"/>
        </w:rPr>
        <w:t xml:space="preserve">: </w:t>
      </w:r>
      <w:hyperlink r:id="rId39" w:history="1">
        <w:r w:rsidRPr="00E6316A">
          <w:rPr>
            <w:rStyle w:val="Hyperlink"/>
            <w:rFonts w:ascii="Times New Roman" w:hAnsi="Times New Roman"/>
            <w:szCs w:val="24"/>
          </w:rPr>
          <w:t>eric.dahlin@byu.edu</w:t>
        </w:r>
      </w:hyperlink>
      <w:r>
        <w:rPr>
          <w:rFonts w:ascii="Times New Roman" w:hAnsi="Times New Roman"/>
          <w:sz w:val="24"/>
          <w:szCs w:val="24"/>
        </w:rPr>
        <w:t xml:space="preserve"> </w:t>
      </w:r>
    </w:p>
    <w:p w:rsidR="00AC7A0C" w:rsidRDefault="00AC7A0C" w:rsidP="00AC7A0C">
      <w:pPr>
        <w:rPr>
          <w:rFonts w:ascii="Times New Roman" w:hAnsi="Times New Roman"/>
          <w:sz w:val="24"/>
          <w:szCs w:val="24"/>
        </w:rPr>
      </w:pPr>
    </w:p>
    <w:p w:rsidR="00AC7A0C" w:rsidRDefault="00AC7A0C" w:rsidP="00AC7A0C">
      <w:pPr>
        <w:rPr>
          <w:rFonts w:ascii="Times New Roman" w:hAnsi="Times New Roman"/>
          <w:sz w:val="24"/>
          <w:szCs w:val="24"/>
        </w:rPr>
      </w:pPr>
      <w:r w:rsidRPr="006C48E0">
        <w:rPr>
          <w:rFonts w:ascii="Arial" w:hAnsi="Arial" w:cs="Arial"/>
          <w:b/>
          <w:sz w:val="24"/>
          <w:szCs w:val="24"/>
        </w:rPr>
        <w:t>A. Brent Strong</w:t>
      </w:r>
      <w:r>
        <w:rPr>
          <w:rFonts w:ascii="Times New Roman" w:hAnsi="Times New Roman"/>
          <w:sz w:val="24"/>
          <w:szCs w:val="24"/>
        </w:rPr>
        <w:t xml:space="preserve"> is the </w:t>
      </w:r>
      <w:proofErr w:type="spellStart"/>
      <w:r w:rsidRPr="00224F9E">
        <w:rPr>
          <w:rFonts w:ascii="Times New Roman" w:hAnsi="Times New Roman"/>
          <w:sz w:val="24"/>
          <w:szCs w:val="24"/>
        </w:rPr>
        <w:t>Lorin</w:t>
      </w:r>
      <w:proofErr w:type="spellEnd"/>
      <w:r w:rsidRPr="00224F9E">
        <w:rPr>
          <w:rFonts w:ascii="Times New Roman" w:hAnsi="Times New Roman"/>
          <w:sz w:val="24"/>
          <w:szCs w:val="24"/>
        </w:rPr>
        <w:t xml:space="preserve"> Farr Professor of Entrepreneurial Technology</w:t>
      </w:r>
      <w:r>
        <w:rPr>
          <w:rFonts w:ascii="Times New Roman" w:hAnsi="Times New Roman"/>
          <w:sz w:val="24"/>
          <w:szCs w:val="24"/>
        </w:rPr>
        <w:t xml:space="preserve"> in </w:t>
      </w:r>
      <w:r w:rsidRPr="00E54CCF">
        <w:rPr>
          <w:rFonts w:ascii="Times New Roman" w:hAnsi="Times New Roman"/>
          <w:sz w:val="24"/>
          <w:szCs w:val="24"/>
        </w:rPr>
        <w:t>Manufacturing Engineering Technolo</w:t>
      </w:r>
      <w:r>
        <w:rPr>
          <w:rFonts w:ascii="Times New Roman" w:hAnsi="Times New Roman"/>
          <w:sz w:val="24"/>
          <w:szCs w:val="24"/>
        </w:rPr>
        <w:t>gy at Brigham Young University.</w:t>
      </w:r>
    </w:p>
    <w:p w:rsidR="00AC7A0C" w:rsidRDefault="00AC7A0C" w:rsidP="00AC7A0C">
      <w:pPr>
        <w:rPr>
          <w:rFonts w:ascii="Times New Roman" w:hAnsi="Times New Roman"/>
          <w:sz w:val="24"/>
          <w:szCs w:val="24"/>
        </w:rPr>
      </w:pPr>
      <w:proofErr w:type="gramStart"/>
      <w:r>
        <w:rPr>
          <w:rFonts w:ascii="Times New Roman" w:hAnsi="Times New Roman"/>
          <w:sz w:val="24"/>
          <w:szCs w:val="24"/>
        </w:rPr>
        <w:t>e-mail</w:t>
      </w:r>
      <w:proofErr w:type="gramEnd"/>
      <w:r>
        <w:rPr>
          <w:rFonts w:ascii="Times New Roman" w:hAnsi="Times New Roman"/>
          <w:sz w:val="24"/>
          <w:szCs w:val="24"/>
        </w:rPr>
        <w:t xml:space="preserve">: </w:t>
      </w:r>
      <w:hyperlink r:id="rId40" w:history="1">
        <w:r w:rsidRPr="00A4014E">
          <w:rPr>
            <w:rStyle w:val="Hyperlink"/>
            <w:rFonts w:ascii="Times New Roman" w:hAnsi="Times New Roman"/>
            <w:szCs w:val="24"/>
          </w:rPr>
          <w:t>strong@byu.edu</w:t>
        </w:r>
      </w:hyperlink>
    </w:p>
    <w:p w:rsidR="00AC7A0C" w:rsidRDefault="00AC7A0C" w:rsidP="00AC7A0C">
      <w:pPr>
        <w:rPr>
          <w:rFonts w:ascii="Times New Roman" w:hAnsi="Times New Roman"/>
          <w:sz w:val="24"/>
          <w:szCs w:val="24"/>
        </w:rPr>
      </w:pPr>
    </w:p>
    <w:p w:rsidR="00AC7A0C" w:rsidRDefault="00AC7A0C" w:rsidP="00AC7A0C">
      <w:pPr>
        <w:rPr>
          <w:rFonts w:ascii="Times New Roman" w:hAnsi="Times New Roman"/>
          <w:sz w:val="24"/>
          <w:szCs w:val="24"/>
        </w:rPr>
      </w:pPr>
      <w:r w:rsidRPr="006C48E0">
        <w:rPr>
          <w:rFonts w:ascii="Arial" w:hAnsi="Arial" w:cs="Arial"/>
          <w:b/>
          <w:sz w:val="24"/>
          <w:szCs w:val="24"/>
        </w:rPr>
        <w:t xml:space="preserve">Scott D. </w:t>
      </w:r>
      <w:proofErr w:type="spellStart"/>
      <w:r w:rsidRPr="006C48E0">
        <w:rPr>
          <w:rFonts w:ascii="Arial" w:hAnsi="Arial" w:cs="Arial"/>
          <w:b/>
          <w:sz w:val="24"/>
          <w:szCs w:val="24"/>
        </w:rPr>
        <w:t>Grimshaw</w:t>
      </w:r>
      <w:proofErr w:type="spellEnd"/>
      <w:r>
        <w:rPr>
          <w:rFonts w:ascii="Times New Roman" w:hAnsi="Times New Roman"/>
          <w:sz w:val="24"/>
          <w:szCs w:val="24"/>
        </w:rPr>
        <w:t xml:space="preserve"> is professor of statistics at Brigham Young University. </w:t>
      </w:r>
    </w:p>
    <w:p w:rsidR="00AC7A0C" w:rsidRDefault="00AC7A0C" w:rsidP="00AC7A0C">
      <w:pPr>
        <w:rPr>
          <w:rFonts w:ascii="Times New Roman" w:hAnsi="Times New Roman"/>
          <w:sz w:val="24"/>
          <w:szCs w:val="24"/>
        </w:rPr>
      </w:pPr>
      <w:proofErr w:type="gramStart"/>
      <w:r>
        <w:rPr>
          <w:rFonts w:ascii="Times New Roman" w:hAnsi="Times New Roman"/>
          <w:sz w:val="24"/>
          <w:szCs w:val="24"/>
        </w:rPr>
        <w:t>e-mail</w:t>
      </w:r>
      <w:proofErr w:type="gramEnd"/>
      <w:r w:rsidRPr="00A4014E">
        <w:rPr>
          <w:rFonts w:ascii="Times New Roman" w:hAnsi="Times New Roman"/>
          <w:sz w:val="24"/>
          <w:szCs w:val="24"/>
        </w:rPr>
        <w:t xml:space="preserve">: </w:t>
      </w:r>
      <w:hyperlink r:id="rId41" w:history="1">
        <w:r w:rsidRPr="00A4014E">
          <w:rPr>
            <w:rStyle w:val="Hyperlink"/>
            <w:rFonts w:ascii="Times New Roman" w:hAnsi="Times New Roman"/>
            <w:szCs w:val="24"/>
          </w:rPr>
          <w:t>grimshaw@byu.edu</w:t>
        </w:r>
      </w:hyperlink>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AC7A0C" w:rsidRDefault="005E5BDD">
      <w:pPr>
        <w:spacing w:before="0" w:after="0"/>
      </w:pPr>
      <w:hyperlink w:anchor="TOC" w:history="1">
        <w:r w:rsidR="00E74431" w:rsidRPr="00E74431">
          <w:rPr>
            <w:rStyle w:val="Hyperlink"/>
            <w:sz w:val="16"/>
            <w:szCs w:val="16"/>
          </w:rPr>
          <w:t>Return to Table of Contents</w:t>
        </w:r>
      </w:hyperlink>
      <w:r w:rsidR="00AC7A0C">
        <w:br w:type="page"/>
      </w:r>
    </w:p>
    <w:p w:rsidR="00AC7A0C" w:rsidRDefault="00AC7A0C">
      <w:pPr>
        <w:spacing w:before="0" w:after="0"/>
      </w:pPr>
      <w:r>
        <w:br w:type="page"/>
      </w:r>
    </w:p>
    <w:p w:rsidR="00AC7A0C" w:rsidRPr="00423A90" w:rsidRDefault="00AC7A0C" w:rsidP="00AC7A0C">
      <w:pPr>
        <w:pStyle w:val="Note"/>
        <w:rPr>
          <w:szCs w:val="22"/>
        </w:rPr>
      </w:pPr>
      <w:r w:rsidRPr="004B10F3">
        <w:rPr>
          <w:b/>
        </w:rPr>
        <w:t>Editor’s Note</w:t>
      </w:r>
      <w:r w:rsidRPr="005A6D23">
        <w:t xml:space="preserve">: </w:t>
      </w:r>
      <w:r w:rsidR="004B10F3">
        <w:t>Group learning, whether classroom or online, requires skill in planning and implementation. This paper is an excellent study of the pedagogical process required to succeed with differing content</w:t>
      </w:r>
      <w:r w:rsidR="006B405F">
        <w:t>, students, and learning situ</w:t>
      </w:r>
      <w:r w:rsidR="00DF231C">
        <w:t>at</w:t>
      </w:r>
      <w:r w:rsidR="004B10F3">
        <w:t>ions.</w:t>
      </w:r>
    </w:p>
    <w:p w:rsidR="00AC7A0C" w:rsidRPr="00423A90" w:rsidRDefault="00AC7A0C" w:rsidP="00AC7A0C">
      <w:pPr>
        <w:pStyle w:val="Note"/>
        <w:rPr>
          <w:szCs w:val="22"/>
        </w:rPr>
      </w:pPr>
    </w:p>
    <w:p w:rsidR="00AC7A0C" w:rsidRPr="00662DA9" w:rsidRDefault="00AC7A0C" w:rsidP="00662DA9">
      <w:pPr>
        <w:pStyle w:val="Heading1"/>
      </w:pPr>
      <w:bookmarkStart w:id="8" w:name="_Structuring_Group_Activities"/>
      <w:bookmarkEnd w:id="8"/>
      <w:r w:rsidRPr="00662DA9">
        <w:t xml:space="preserve">Structuring Group Activities for Success </w:t>
      </w:r>
      <w:r w:rsidRPr="00662DA9">
        <w:br/>
        <w:t>in Online Courses</w:t>
      </w:r>
    </w:p>
    <w:p w:rsidR="00AC7A0C" w:rsidRPr="005A6D23" w:rsidRDefault="00AC7A0C" w:rsidP="00AC7A0C">
      <w:pPr>
        <w:pStyle w:val="Heading5"/>
        <w:rPr>
          <w:szCs w:val="22"/>
        </w:rPr>
      </w:pPr>
      <w:r w:rsidRPr="005A6D23">
        <w:rPr>
          <w:szCs w:val="22"/>
        </w:rPr>
        <w:t xml:space="preserve">Dan </w:t>
      </w:r>
      <w:proofErr w:type="spellStart"/>
      <w:r w:rsidRPr="005A6D23">
        <w:rPr>
          <w:szCs w:val="22"/>
        </w:rPr>
        <w:t>Keast</w:t>
      </w:r>
      <w:proofErr w:type="spellEnd"/>
    </w:p>
    <w:p w:rsidR="00AC7A0C" w:rsidRPr="004B10F3" w:rsidRDefault="00AC7A0C" w:rsidP="00AC7A0C">
      <w:pPr>
        <w:pStyle w:val="Heading5"/>
        <w:rPr>
          <w:sz w:val="18"/>
          <w:szCs w:val="18"/>
        </w:rPr>
      </w:pPr>
      <w:r w:rsidRPr="004B10F3">
        <w:rPr>
          <w:sz w:val="18"/>
          <w:szCs w:val="18"/>
        </w:rPr>
        <w:t>USA</w:t>
      </w:r>
    </w:p>
    <w:p w:rsidR="00AC7A0C" w:rsidRPr="00423A90" w:rsidRDefault="00AC7A0C" w:rsidP="00AC7A0C">
      <w:pPr>
        <w:rPr>
          <w:szCs w:val="22"/>
        </w:rPr>
      </w:pPr>
      <w:r w:rsidRPr="00423A90">
        <w:rPr>
          <w:rFonts w:cs="Calibri"/>
          <w:szCs w:val="22"/>
        </w:rPr>
        <w:t xml:space="preserve">A teacher introduces a group activity to her class of History students, provides necessary instruction on the topic, and then divides the students into groups. After her students move their desks into pods so they can work together, she explains the roles of each member. Once the students know what the objective is, who is in their group, and the role of each group member, they start the activity. A worksheet is distributed for students to refer to during the task. The teacher monitors the work as she walks around the room providing motivation, clarification, and redirection to off-task groups or individuals. </w:t>
      </w:r>
    </w:p>
    <w:p w:rsidR="00AC7A0C" w:rsidRPr="00423A90" w:rsidRDefault="00AC7A0C" w:rsidP="00AC7A0C">
      <w:pPr>
        <w:rPr>
          <w:szCs w:val="22"/>
        </w:rPr>
      </w:pPr>
      <w:r w:rsidRPr="00423A90">
        <w:rPr>
          <w:rFonts w:cs="Calibri"/>
          <w:szCs w:val="22"/>
        </w:rPr>
        <w:t>While walking about the room, the teacher praises exemplary work to the class which assists in motivating and directing other groups toward a common goal. As the time period for the activity nears an end, the teacher reminds the students of the approaching deadline.</w:t>
      </w:r>
    </w:p>
    <w:p w:rsidR="00AC7A0C" w:rsidRPr="00423A90" w:rsidRDefault="00AC7A0C" w:rsidP="00AC7A0C">
      <w:pPr>
        <w:rPr>
          <w:szCs w:val="22"/>
        </w:rPr>
      </w:pPr>
      <w:r w:rsidRPr="00423A90">
        <w:rPr>
          <w:rFonts w:cs="Calibri"/>
          <w:szCs w:val="22"/>
        </w:rPr>
        <w:t>When the time for group work ends, the students share their productivity as evidence of their collaborative learning. The teacher is able to view student learning, assess individual contributions, praise groups for their collaborative learning, and correct misinformation if necessary.</w:t>
      </w:r>
    </w:p>
    <w:p w:rsidR="00AC7A0C" w:rsidRPr="00423A90" w:rsidRDefault="00AC7A0C" w:rsidP="00AC7A0C">
      <w:pPr>
        <w:rPr>
          <w:szCs w:val="22"/>
        </w:rPr>
      </w:pPr>
      <w:r w:rsidRPr="00423A90">
        <w:rPr>
          <w:rFonts w:cs="Calibri"/>
          <w:szCs w:val="22"/>
        </w:rPr>
        <w:t xml:space="preserve">Close your eyes for a moment and envision this group activity occurring in a traditional classroom. Now, try to imagine it in a virtual (online) surrounding. Why would an online group activity be structured any differently than in a face-to-face classroom? The answer is that it should be fundamentally the same. The differences are the physical distance and asynchronous nature of the online classroom.  </w:t>
      </w:r>
    </w:p>
    <w:p w:rsidR="00AC7A0C" w:rsidRPr="00423A90" w:rsidRDefault="00AC7A0C" w:rsidP="00AC7A0C">
      <w:pPr>
        <w:rPr>
          <w:szCs w:val="22"/>
        </w:rPr>
      </w:pPr>
      <w:r w:rsidRPr="00423A90">
        <w:rPr>
          <w:szCs w:val="22"/>
        </w:rPr>
        <w:t>I teach using a constructivist philosophy, so I have a natural affinity for small group work in all my classes: face-to-face, blended, and online courses. Over the years I have experienced everything from amazingly successful groups to complete disasters. My approach to helping the groups has gone from hands-off/let the groups find their way, to constant replying to postings in each small group’s private discussion board. Both extreme tactics ended in failure, the result being under-motivated students in the “hands-off” scenario, and overburdened ones in the “micro-managed” approach. The key to the success of small groups is not the faculty-student interaction, but the structuring and preplanning of the activities to engage consistent, quality student-to-student interaction.</w:t>
      </w:r>
    </w:p>
    <w:p w:rsidR="00AC7A0C" w:rsidRPr="00423A90" w:rsidRDefault="00AC7A0C" w:rsidP="00AC7A0C">
      <w:pPr>
        <w:rPr>
          <w:szCs w:val="22"/>
        </w:rPr>
      </w:pPr>
      <w:r w:rsidRPr="00423A90">
        <w:rPr>
          <w:szCs w:val="22"/>
        </w:rPr>
        <w:t xml:space="preserve">For the purposes of this article, I will alter the definition of </w:t>
      </w:r>
      <w:r w:rsidRPr="00423A90">
        <w:rPr>
          <w:i/>
          <w:iCs/>
          <w:szCs w:val="22"/>
        </w:rPr>
        <w:t>group work</w:t>
      </w:r>
      <w:r w:rsidRPr="00423A90">
        <w:rPr>
          <w:szCs w:val="22"/>
        </w:rPr>
        <w:t xml:space="preserve"> supplied by </w:t>
      </w:r>
      <w:r w:rsidRPr="00423A90">
        <w:rPr>
          <w:noProof/>
          <w:szCs w:val="22"/>
        </w:rPr>
        <w:t>Huber &amp; Huber (2008, p. 113)</w:t>
      </w:r>
      <w:r w:rsidRPr="00423A90">
        <w:rPr>
          <w:szCs w:val="22"/>
        </w:rPr>
        <w:t xml:space="preserve">: “There are two options for organizing learning in small groups on an external level: a product-oriented approach known as collaborative learning and a process-centered approach known as cooperative learning.” Thus said, the scenario above is an excellent example of </w:t>
      </w:r>
      <w:r w:rsidRPr="00423A90">
        <w:rPr>
          <w:i/>
          <w:iCs/>
          <w:szCs w:val="22"/>
        </w:rPr>
        <w:t>collaborative</w:t>
      </w:r>
      <w:r w:rsidRPr="00423A90">
        <w:rPr>
          <w:szCs w:val="22"/>
        </w:rPr>
        <w:t xml:space="preserve"> learning. The teacher could have placed more value onto the process and deemphasized the product to create a </w:t>
      </w:r>
      <w:r w:rsidRPr="00423A90">
        <w:rPr>
          <w:i/>
          <w:iCs/>
          <w:szCs w:val="22"/>
        </w:rPr>
        <w:t xml:space="preserve">cooperative </w:t>
      </w:r>
      <w:r w:rsidRPr="00423A90">
        <w:rPr>
          <w:szCs w:val="22"/>
        </w:rPr>
        <w:t>learning activity. I have realized the most success in a blended model of collaborative and cooperative learning wherein I value not only the product, but the process of the group activity.</w:t>
      </w:r>
    </w:p>
    <w:p w:rsidR="00AC7A0C" w:rsidRPr="00423A90" w:rsidRDefault="00AC7A0C" w:rsidP="00AC7A0C">
      <w:pPr>
        <w:pStyle w:val="Heading3"/>
      </w:pPr>
      <w:r w:rsidRPr="00423A90">
        <w:t>Problems with Small Groups</w:t>
      </w:r>
    </w:p>
    <w:p w:rsidR="00AC7A0C" w:rsidRPr="00423A90" w:rsidRDefault="00AC7A0C" w:rsidP="00AC7A0C">
      <w:pPr>
        <w:rPr>
          <w:szCs w:val="22"/>
        </w:rPr>
      </w:pPr>
      <w:r w:rsidRPr="00423A90">
        <w:rPr>
          <w:szCs w:val="22"/>
        </w:rPr>
        <w:t xml:space="preserve">Group work is synonymous, in some students’ opinion, with one person doing all the work while the rest get the credit. “Notorious negative effects of this kind of organization of team learning are ‘social loafing’ and the ‘sucker effect’: those students who believe that they are responsible for the group’s task and do the job again and again, will probably experience a decline in motivation” </w:t>
      </w:r>
      <w:r w:rsidRPr="00423A90">
        <w:rPr>
          <w:noProof/>
          <w:szCs w:val="22"/>
        </w:rPr>
        <w:t>(Huber &amp; Huber, 2008, p. 114)</w:t>
      </w:r>
      <w:r w:rsidRPr="00423A90">
        <w:rPr>
          <w:szCs w:val="22"/>
        </w:rPr>
        <w:t>. When educators create the oversight and follow-through of the group work strategy with a solidly executed role-assignment strategy, the loafing will diminish. The free loaders, free-riders, or social loafers are students who contribute little or nothing to a small group project, coast on the coattails of the worker bees, and yet expect to receive an equal portion of the grade. The engagement of the social loafers will decrease the likelihood of other group members feeling the need to do more than their role prescribes in order for the project to succeed.</w:t>
      </w:r>
    </w:p>
    <w:p w:rsidR="00AC7A0C" w:rsidRPr="00423A90" w:rsidRDefault="00AC7A0C" w:rsidP="00AC7A0C">
      <w:pPr>
        <w:rPr>
          <w:szCs w:val="22"/>
        </w:rPr>
      </w:pPr>
      <w:r w:rsidRPr="00423A90">
        <w:rPr>
          <w:szCs w:val="22"/>
        </w:rPr>
        <w:t xml:space="preserve">One method I suggest is to create an atmosphere of </w:t>
      </w:r>
      <w:proofErr w:type="spellStart"/>
      <w:r w:rsidRPr="00423A90">
        <w:rPr>
          <w:i/>
          <w:iCs/>
          <w:szCs w:val="22"/>
        </w:rPr>
        <w:t>espirit</w:t>
      </w:r>
      <w:proofErr w:type="spellEnd"/>
      <w:r w:rsidRPr="00423A90">
        <w:rPr>
          <w:i/>
          <w:iCs/>
          <w:szCs w:val="22"/>
        </w:rPr>
        <w:t xml:space="preserve"> de corps</w:t>
      </w:r>
      <w:r w:rsidRPr="00423A90">
        <w:rPr>
          <w:szCs w:val="22"/>
        </w:rPr>
        <w:t xml:space="preserve">. “Students must realize they are linked together in such a way that no one can succeed unless they all do and they must actively coordinate their efforts to facilitate each other’s learning” </w:t>
      </w:r>
      <w:r w:rsidRPr="00423A90">
        <w:rPr>
          <w:noProof/>
          <w:szCs w:val="22"/>
        </w:rPr>
        <w:t>(Johnson &amp; Johnson, 1990, p. 175)</w:t>
      </w:r>
      <w:r w:rsidRPr="00423A90">
        <w:rPr>
          <w:szCs w:val="22"/>
        </w:rPr>
        <w:t xml:space="preserve">. Once students realize they need each other to succeed, they will become cheerleaders for one another and encourage each other to achieve more. </w:t>
      </w:r>
    </w:p>
    <w:p w:rsidR="00AC7A0C" w:rsidRPr="00423A90" w:rsidRDefault="00AC7A0C" w:rsidP="00AC7A0C">
      <w:pPr>
        <w:rPr>
          <w:szCs w:val="22"/>
        </w:rPr>
      </w:pPr>
      <w:r w:rsidRPr="00423A90">
        <w:rPr>
          <w:szCs w:val="22"/>
        </w:rPr>
        <w:t>Students are humans and their schedules are subject to the same emergencies we face as faculty.  Children get ill, cars break down, and plumbing problems occur.  The issue is not that these events occur, but how they affect the group members’ ability to complete a project.  The students need to learn to adapt and collaborate to minimize the effects of these events on the group.  Punishing the group for procrastinating is not the best solution.  Encouraging stepwise progress toward the goal with rewards placed in the grading rubric might be a better strategy for a faculty member to utilize.</w:t>
      </w:r>
    </w:p>
    <w:p w:rsidR="00AC7A0C" w:rsidRPr="00423A90" w:rsidRDefault="00AC7A0C" w:rsidP="00AC7A0C">
      <w:pPr>
        <w:rPr>
          <w:szCs w:val="22"/>
        </w:rPr>
      </w:pPr>
      <w:r w:rsidRPr="00423A90">
        <w:rPr>
          <w:szCs w:val="22"/>
        </w:rPr>
        <w:t xml:space="preserve">I strive to link the roles of a team project, so much so that each member depends on another for a component. Students “develop a sense of psychological interdependence and group identification and a feeling of personal responsibility to contribute to the group” </w:t>
      </w:r>
      <w:r w:rsidRPr="00423A90">
        <w:rPr>
          <w:noProof/>
          <w:szCs w:val="22"/>
        </w:rPr>
        <w:t>(Gillies, 2003, p. 36)</w:t>
      </w:r>
      <w:r w:rsidRPr="00423A90">
        <w:rPr>
          <w:szCs w:val="22"/>
        </w:rPr>
        <w:t xml:space="preserve">. Students find failure distasteful and thus work hard to avoid it.  If one student realizes that they must complete their role in order for the rest of the group to succeed, they are more motivated and inspired to participate. A sense of teamwork will emerge and reduce the freeloading effect. </w:t>
      </w:r>
    </w:p>
    <w:p w:rsidR="00AC7A0C" w:rsidRDefault="00AC7A0C" w:rsidP="00AC7A0C">
      <w:pPr>
        <w:rPr>
          <w:szCs w:val="22"/>
        </w:rPr>
      </w:pPr>
      <w:r w:rsidRPr="00423A90">
        <w:rPr>
          <w:szCs w:val="22"/>
        </w:rPr>
        <w:t xml:space="preserve">Of course, there will be exceptions, and these cases will frustrate educators. In those instances, I use a part of my rubric to highlight the grading process. Instead of grading only the product, “we want instead to demonstrate that each team member has benefited personally, has gained new experiences, knowledge, and skills as individual products of his or her learning efforts, and is able to contribute individually to the socio-cultural dimension of knowing” </w:t>
      </w:r>
      <w:r w:rsidRPr="00423A90">
        <w:rPr>
          <w:noProof/>
          <w:szCs w:val="22"/>
        </w:rPr>
        <w:t>(Huber &amp; Huber, 2008, p. 114)</w:t>
      </w:r>
      <w:r w:rsidRPr="00423A90">
        <w:rPr>
          <w:szCs w:val="22"/>
        </w:rPr>
        <w:t>. Thus, I strive to create grading rubrics for the projects that acknowledge each team member’s role in the process of the group activity.</w:t>
      </w:r>
    </w:p>
    <w:p w:rsidR="00662DA9" w:rsidRPr="00423A90" w:rsidRDefault="00662DA9" w:rsidP="00662DA9">
      <w:pPr>
        <w:rPr>
          <w:szCs w:val="22"/>
        </w:rPr>
      </w:pPr>
      <w:r w:rsidRPr="00423A90">
        <w:rPr>
          <w:szCs w:val="22"/>
        </w:rPr>
        <w:t xml:space="preserve">Another complaint of students in the online community is that communication in an asynchronous learning environment can be slow and lead to frustration within teams. Educators should remind students of group skills within the first stage of the assignment. “The social skills that have been identified that facilitate communication include: listening to each other during group discussions; acknowledging others’ ideas and considering their perspective on issues; stating ideas freely; resolving conflicts democratically; sharing tasks equitably; and allocating resources fairly among group members” </w:t>
      </w:r>
      <w:r w:rsidRPr="00423A90">
        <w:rPr>
          <w:noProof/>
          <w:szCs w:val="22"/>
        </w:rPr>
        <w:t>(Gillies, 2003, p. 36)</w:t>
      </w:r>
      <w:r w:rsidRPr="00423A90">
        <w:rPr>
          <w:szCs w:val="22"/>
        </w:rPr>
        <w:t xml:space="preserve">.  </w:t>
      </w:r>
    </w:p>
    <w:p w:rsidR="00662DA9" w:rsidRPr="00423A90" w:rsidRDefault="00662DA9" w:rsidP="00AC7A0C">
      <w:pPr>
        <w:rPr>
          <w:szCs w:val="22"/>
        </w:rPr>
      </w:pPr>
    </w:p>
    <w:p w:rsidR="00AC7A0C" w:rsidRPr="00F1038C" w:rsidRDefault="00AC7A0C" w:rsidP="00AC7A0C">
      <w:pPr>
        <w:pStyle w:val="Heading5"/>
      </w:pPr>
      <w:r w:rsidRPr="005A6D23">
        <w:rPr>
          <w:noProof/>
        </w:rPr>
        <w:drawing>
          <wp:inline distT="0" distB="0" distL="0" distR="0" wp14:anchorId="72E8325D" wp14:editId="50E10814">
            <wp:extent cx="5495925" cy="5981700"/>
            <wp:effectExtent l="19050" t="19050" r="28575" b="19050"/>
            <wp:docPr id="4" name="Picture 4" descr="Process rub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s rubric"/>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95925" cy="5981700"/>
                    </a:xfrm>
                    <a:prstGeom prst="rect">
                      <a:avLst/>
                    </a:prstGeom>
                    <a:noFill/>
                    <a:ln w="9525">
                      <a:solidFill>
                        <a:schemeClr val="tx1"/>
                      </a:solidFill>
                    </a:ln>
                  </pic:spPr>
                </pic:pic>
              </a:graphicData>
            </a:graphic>
          </wp:inline>
        </w:drawing>
      </w:r>
      <w:r w:rsidRPr="00F1038C">
        <w:t>Figure 1: Music History I course, Renaissance activity for small groups</w:t>
      </w:r>
      <w:r w:rsidR="00515AB6">
        <w:br/>
      </w:r>
    </w:p>
    <w:p w:rsidR="00AC7A0C" w:rsidRPr="00423A90" w:rsidRDefault="00AC7A0C" w:rsidP="00AC7A0C">
      <w:pPr>
        <w:rPr>
          <w:szCs w:val="22"/>
        </w:rPr>
      </w:pPr>
      <w:r w:rsidRPr="00423A90">
        <w:rPr>
          <w:szCs w:val="22"/>
        </w:rPr>
        <w:t xml:space="preserve">I am occasionally presented with a student asking if they can “go it alone” instead of working with groups. The student will often cite instances of horrible treatment by peers or lack of oversight by an instructor. I have experienced this situation so many times that I have now included a segment in my first module of every online course that includes the rationale for collaborative learning. </w:t>
      </w:r>
      <w:proofErr w:type="gramStart"/>
      <w:r w:rsidRPr="00423A90">
        <w:rPr>
          <w:szCs w:val="22"/>
        </w:rPr>
        <w:t xml:space="preserve">“Include a discussion of the benefits of group work, as well as the challenges associated with carrying out collaborative group activity in an online course environment” </w:t>
      </w:r>
      <w:r w:rsidRPr="00423A90">
        <w:rPr>
          <w:noProof/>
          <w:szCs w:val="22"/>
        </w:rPr>
        <w:t>(Doran, 2001, p. 26)</w:t>
      </w:r>
      <w:r w:rsidRPr="00423A90">
        <w:rPr>
          <w:szCs w:val="22"/>
        </w:rPr>
        <w:t>.</w:t>
      </w:r>
      <w:proofErr w:type="gramEnd"/>
      <w:r w:rsidRPr="00423A90">
        <w:rPr>
          <w:szCs w:val="22"/>
        </w:rPr>
        <w:t xml:space="preserve"> One of the benefits to online group work should be that of </w:t>
      </w:r>
      <w:r w:rsidRPr="00423A90">
        <w:rPr>
          <w:noProof/>
          <w:szCs w:val="22"/>
        </w:rPr>
        <w:t>Slavin (1995)</w:t>
      </w:r>
      <w:r w:rsidRPr="00423A90">
        <w:rPr>
          <w:szCs w:val="22"/>
        </w:rPr>
        <w:t xml:space="preserve"> who found that cooperative learning led to a higher academic achievement in 64% of his 90 field studies. Von </w:t>
      </w:r>
      <w:proofErr w:type="spellStart"/>
      <w:r w:rsidRPr="00423A90">
        <w:rPr>
          <w:szCs w:val="22"/>
        </w:rPr>
        <w:t>Hentig</w:t>
      </w:r>
      <w:proofErr w:type="spellEnd"/>
      <w:r w:rsidRPr="00423A90">
        <w:rPr>
          <w:szCs w:val="22"/>
        </w:rPr>
        <w:t xml:space="preserve"> </w:t>
      </w:r>
      <w:r w:rsidRPr="00423A90">
        <w:rPr>
          <w:noProof/>
          <w:szCs w:val="22"/>
        </w:rPr>
        <w:t>(2004, p. 11)</w:t>
      </w:r>
      <w:r w:rsidRPr="00423A90">
        <w:rPr>
          <w:szCs w:val="22"/>
        </w:rPr>
        <w:t xml:space="preserve"> commented that students should learn “to do their part in a world characterized by collaboration” as well as learn “to participate actively first in the processes of a small, then wide community.” I tout these benefits and discuss how my work on many committees and boards produces something greater than any one person can achieve alone. Another benefit to the students is how this gives them an opportunity to develop life skills that will benefit them outside of the classroom for years to come. </w:t>
      </w:r>
    </w:p>
    <w:p w:rsidR="00AC7A0C" w:rsidRPr="00423A90" w:rsidRDefault="00AC7A0C" w:rsidP="00AC7A0C">
      <w:pPr>
        <w:pStyle w:val="Heading3"/>
      </w:pPr>
      <w:r w:rsidRPr="005A6D23">
        <w:t xml:space="preserve">Need for </w:t>
      </w:r>
      <w:r>
        <w:t>S</w:t>
      </w:r>
      <w:r w:rsidRPr="005A6D23">
        <w:t>tructure</w:t>
      </w:r>
    </w:p>
    <w:p w:rsidR="00AC7A0C" w:rsidRPr="00423A90" w:rsidRDefault="00AC7A0C" w:rsidP="00AC7A0C">
      <w:pPr>
        <w:rPr>
          <w:szCs w:val="22"/>
        </w:rPr>
      </w:pPr>
      <w:r w:rsidRPr="00423A90">
        <w:rPr>
          <w:szCs w:val="22"/>
        </w:rPr>
        <w:t xml:space="preserve">Rarely found in research literature before the 1970’s, group learning is now a major part of American educational pedagogical processes </w:t>
      </w:r>
      <w:r w:rsidRPr="00423A90">
        <w:rPr>
          <w:noProof/>
          <w:szCs w:val="22"/>
        </w:rPr>
        <w:t>(Slavin, 1995, p. 74)</w:t>
      </w:r>
      <w:r w:rsidRPr="00423A90">
        <w:rPr>
          <w:szCs w:val="22"/>
        </w:rPr>
        <w:t xml:space="preserve">. It is almost impossible to imagine a classroom in today’s schools without some form of collaborative learning. The problem exists that not all teachers follow a method, such as a model provided by </w:t>
      </w:r>
      <w:r w:rsidRPr="00423A90">
        <w:rPr>
          <w:noProof/>
          <w:szCs w:val="22"/>
        </w:rPr>
        <w:t>Arends (1988, p. 408)</w:t>
      </w:r>
      <w:r w:rsidRPr="00423A90">
        <w:rPr>
          <w:szCs w:val="22"/>
        </w:rPr>
        <w:t>:</w:t>
      </w:r>
    </w:p>
    <w:p w:rsidR="00AC7A0C" w:rsidRPr="00423A90" w:rsidRDefault="00AC7A0C" w:rsidP="00AC7A0C">
      <w:pPr>
        <w:ind w:left="720"/>
      </w:pPr>
      <w:r w:rsidRPr="00423A90">
        <w:t>Phase 1 – Present goals and set</w:t>
      </w:r>
    </w:p>
    <w:p w:rsidR="00AC7A0C" w:rsidRDefault="00AC7A0C" w:rsidP="00AC7A0C">
      <w:pPr>
        <w:ind w:left="720"/>
      </w:pPr>
      <w:r w:rsidRPr="00423A90">
        <w:t>Phase 2 – Present information</w:t>
      </w:r>
    </w:p>
    <w:p w:rsidR="00AC7A0C" w:rsidRPr="00423A90" w:rsidRDefault="00AC7A0C" w:rsidP="00AC7A0C">
      <w:pPr>
        <w:ind w:left="720"/>
      </w:pPr>
      <w:r w:rsidRPr="00423A90">
        <w:t>Phase 3 – Organize students into learning teams</w:t>
      </w:r>
    </w:p>
    <w:p w:rsidR="00AC7A0C" w:rsidRPr="00423A90" w:rsidRDefault="00AC7A0C" w:rsidP="00AC7A0C">
      <w:pPr>
        <w:ind w:left="720"/>
      </w:pPr>
      <w:r w:rsidRPr="00423A90">
        <w:t>Phase 4 – Assist team work and study</w:t>
      </w:r>
    </w:p>
    <w:p w:rsidR="00AC7A0C" w:rsidRPr="00423A90" w:rsidRDefault="00AC7A0C" w:rsidP="00AC7A0C">
      <w:pPr>
        <w:ind w:left="720"/>
      </w:pPr>
      <w:r w:rsidRPr="00423A90">
        <w:t>Phase 5 – Test over materials</w:t>
      </w:r>
    </w:p>
    <w:p w:rsidR="00AC7A0C" w:rsidRPr="00423A90" w:rsidRDefault="00AC7A0C" w:rsidP="00AC7A0C">
      <w:pPr>
        <w:ind w:left="720"/>
      </w:pPr>
      <w:r w:rsidRPr="00423A90">
        <w:t>Phase 6 – Provide recognition</w:t>
      </w:r>
    </w:p>
    <w:p w:rsidR="00AC7A0C" w:rsidRPr="00423A90" w:rsidRDefault="00AC7A0C" w:rsidP="00AC7A0C">
      <w:pPr>
        <w:rPr>
          <w:szCs w:val="22"/>
        </w:rPr>
      </w:pPr>
      <w:r w:rsidRPr="00423A90">
        <w:rPr>
          <w:szCs w:val="22"/>
        </w:rPr>
        <w:t xml:space="preserve">Educators use various models of collaborative learning such as the Jigsaw </w:t>
      </w:r>
      <w:r w:rsidRPr="00423A90">
        <w:rPr>
          <w:noProof/>
          <w:szCs w:val="22"/>
        </w:rPr>
        <w:t>(Aronson, 1978)</w:t>
      </w:r>
      <w:r w:rsidRPr="00423A90">
        <w:rPr>
          <w:szCs w:val="22"/>
        </w:rPr>
        <w:t xml:space="preserve"> or the Listen-Think-Pair-Share method </w:t>
      </w:r>
      <w:r w:rsidRPr="00423A90">
        <w:rPr>
          <w:noProof/>
          <w:szCs w:val="22"/>
        </w:rPr>
        <w:t>(Lyman, 1981, p. 109)</w:t>
      </w:r>
      <w:r w:rsidRPr="00423A90">
        <w:rPr>
          <w:szCs w:val="22"/>
        </w:rPr>
        <w:t xml:space="preserve">. Regardless of the method, the need for structure is the key to success in group learning. “…It is clear that placing students in groups and telling them to work together will not necessarily promote cooperation and learning” </w:t>
      </w:r>
      <w:r w:rsidRPr="00423A90">
        <w:rPr>
          <w:noProof/>
          <w:szCs w:val="22"/>
        </w:rPr>
        <w:t>(Gillies, 2003, p. 36)</w:t>
      </w:r>
      <w:r w:rsidRPr="00423A90">
        <w:rPr>
          <w:szCs w:val="22"/>
        </w:rPr>
        <w:t xml:space="preserve">. Online activities should be planned and executed much like face-to-face activities – probably even more so for the asynchronous online classroom.  Group activities created by incorporating structure and scaffolding will be much more likely to achieve success than those without. </w:t>
      </w:r>
    </w:p>
    <w:p w:rsidR="00AC7A0C" w:rsidRPr="00423A90" w:rsidRDefault="00AC7A0C" w:rsidP="00AC7A0C">
      <w:pPr>
        <w:rPr>
          <w:szCs w:val="22"/>
        </w:rPr>
      </w:pPr>
      <w:r w:rsidRPr="00423A90">
        <w:rPr>
          <w:szCs w:val="22"/>
        </w:rPr>
        <w:t xml:space="preserve">In the scenario presented earlier, the educator interacted during the activity with individual groups so as to redirect off-task groups, answer questions, and provide praise/motivation where appropriate. The online educator must monitor group discussion forums and inquire about their product to provide the oversight. Simply stating the goals and presenting information is not sufficient. The follow-through is essential, especially when students perform the activity asynchronously. Their isolation and frustration will mount if team members fail to respond quickly or do not participate meaningfully in the discussion forum.  </w:t>
      </w:r>
    </w:p>
    <w:p w:rsidR="00AC7A0C" w:rsidRPr="00423A90" w:rsidRDefault="00AC7A0C" w:rsidP="00AC7A0C">
      <w:pPr>
        <w:rPr>
          <w:szCs w:val="22"/>
        </w:rPr>
      </w:pPr>
      <w:r w:rsidRPr="00423A90">
        <w:rPr>
          <w:szCs w:val="22"/>
        </w:rPr>
        <w:t xml:space="preserve">In addition to oversight, an online educator needs to provide scaffolding for the students to use “just in time”. Scaffolding “enables children to complete tasks they would not be able to do by themselves. When children work cooperatively together, the group creates a zone of proximal development enabling members to be successful at tasks that they would be unable to do alone” </w:t>
      </w:r>
      <w:r w:rsidRPr="00423A90">
        <w:rPr>
          <w:noProof/>
          <w:szCs w:val="22"/>
        </w:rPr>
        <w:t>(Gillies, 2003, p. 39)</w:t>
      </w:r>
      <w:r w:rsidRPr="00423A90">
        <w:rPr>
          <w:szCs w:val="22"/>
        </w:rPr>
        <w:t>.</w:t>
      </w:r>
      <w:r w:rsidRPr="00423A90">
        <w:rPr>
          <w:color w:val="FF0000"/>
          <w:szCs w:val="22"/>
        </w:rPr>
        <w:t xml:space="preserve"> </w:t>
      </w:r>
      <w:r w:rsidRPr="00423A90">
        <w:rPr>
          <w:szCs w:val="22"/>
        </w:rPr>
        <w:t xml:space="preserve">Scaffolding is the deliberate placement of tools for students to use for investigating a topic or completing an activity. Tools for the students can be as simple as an email link to a librarian to ask for help or guidance, hyperlinks to pre-screened websites helpful for additional information, websites for skill drill, or a link to the textbook publisher's online ancillary materials. Scaffolding can also be as detailed as teacher-designed interactive self-help activities such as formative quizzes. Regardless, scaffolding activities are intended to support the students' interaction with course materials without the direct intervention of the educator. </w:t>
      </w:r>
    </w:p>
    <w:p w:rsidR="00AC7A0C" w:rsidRPr="00423A90" w:rsidRDefault="00AC7A0C" w:rsidP="00AC7A0C">
      <w:pPr>
        <w:rPr>
          <w:szCs w:val="22"/>
        </w:rPr>
      </w:pPr>
      <w:r w:rsidRPr="00423A90">
        <w:rPr>
          <w:szCs w:val="22"/>
        </w:rPr>
        <w:t xml:space="preserve">Assigning students the task of synthesizing data and creating a summary is challenging. Organizing the students into teams and letting them flounder is not a productive use of their time. As a face-to-face educator would answer questions or point students in the right direction for answers, online scaffolding should be provided so students get immediate help in the physical absence of the educator. I provide students with possible hints or helpful links to use if they need assistance with a specific task of the group activity. I also place generalized scaffolding on a main menu that can lead the students to technical support, the campus library, job services, bookstore, advising, ADA services, tutors, counseling on campus, time management materials, and the campus writing center.  </w:t>
      </w:r>
    </w:p>
    <w:p w:rsidR="00AC7A0C" w:rsidRPr="00423A90" w:rsidRDefault="00AC7A0C" w:rsidP="00AC7A0C">
      <w:pPr>
        <w:rPr>
          <w:szCs w:val="22"/>
        </w:rPr>
      </w:pPr>
      <w:r w:rsidRPr="00423A90">
        <w:rPr>
          <w:szCs w:val="22"/>
        </w:rPr>
        <w:t xml:space="preserve">Providing teams with a set of roles is a type of scaffolding, which will assist students in understanding the work, scope of the overall project, and how each person will be held accountable in the grading rubric. “The exchange of knowledge and skills must be supported by one or more of the following measures: task specialization, support of task-specific interactions, support of group processes, and feedback or reward for the learning of the group members” </w:t>
      </w:r>
      <w:r w:rsidRPr="00423A90">
        <w:rPr>
          <w:noProof/>
          <w:szCs w:val="22"/>
        </w:rPr>
        <w:t>(Huber &amp; Huber, 2008, p. 113)</w:t>
      </w:r>
      <w:r w:rsidRPr="00423A90">
        <w:rPr>
          <w:szCs w:val="22"/>
        </w:rPr>
        <w:t xml:space="preserve">. Structure the activity by naming roles for team members to pick. This technique allows them to favor their strengths and know what to expect others to contribute. As Huber noted, though, the educator must follow through with feedback on the group product. </w:t>
      </w:r>
    </w:p>
    <w:p w:rsidR="00AC7A0C" w:rsidRPr="00423A90" w:rsidRDefault="00AC7A0C" w:rsidP="00AC7A0C">
      <w:pPr>
        <w:rPr>
          <w:szCs w:val="22"/>
        </w:rPr>
      </w:pPr>
      <w:r w:rsidRPr="00423A90">
        <w:rPr>
          <w:noProof/>
          <w:szCs w:val="22"/>
        </w:rPr>
        <w:t>Ferguson (2001, p. 48)</w:t>
      </w:r>
      <w:r w:rsidRPr="00423A90">
        <w:rPr>
          <w:szCs w:val="22"/>
        </w:rPr>
        <w:t xml:space="preserve"> suggested important design principles for a learning environment that included the need to focus on solving real-world problems, providing learner control, and to focus on knowledge construction, not reproduction. As an educator, I struggle to turn over control of an activity to my students, especially online students whom I do not physically meet. Designing an activity that mimics a real-world problem opens the activity to creative solutions and some learner control of the product. However, the faculty member needs to be available to guide the students to a suitable solution.</w:t>
      </w:r>
    </w:p>
    <w:p w:rsidR="00AC7A0C" w:rsidRPr="00423A90" w:rsidRDefault="00AC7A0C" w:rsidP="00AC7A0C">
      <w:pPr>
        <w:pStyle w:val="Heading3"/>
      </w:pPr>
      <w:r w:rsidRPr="00423A90">
        <w:t>The Seven-Step Checklist for Structuring Group Activities</w:t>
      </w:r>
    </w:p>
    <w:p w:rsidR="00AC7A0C" w:rsidRPr="00423A90" w:rsidRDefault="00AC7A0C" w:rsidP="00AC7A0C">
      <w:pPr>
        <w:rPr>
          <w:szCs w:val="22"/>
        </w:rPr>
      </w:pPr>
      <w:r w:rsidRPr="00423A90">
        <w:rPr>
          <w:szCs w:val="22"/>
        </w:rPr>
        <w:t>The process of structuring the activities is more important than ever for the virtual educator. I keep a seven-step checklist handy while creating group activities so that the activity is properly structured to insure student learning.</w:t>
      </w:r>
    </w:p>
    <w:p w:rsidR="00AC7A0C" w:rsidRPr="00423A90" w:rsidRDefault="00AC7A0C" w:rsidP="00AC7A0C">
      <w:pPr>
        <w:pStyle w:val="Heading4"/>
        <w:rPr>
          <w:i w:val="0"/>
        </w:rPr>
      </w:pPr>
      <w:r w:rsidRPr="00423A90">
        <w:t>Step 1 – Design Groups:</w:t>
      </w:r>
    </w:p>
    <w:p w:rsidR="00AC7A0C" w:rsidRPr="00423A90" w:rsidRDefault="00AC7A0C" w:rsidP="00AC7A0C">
      <w:pPr>
        <w:rPr>
          <w:szCs w:val="22"/>
        </w:rPr>
      </w:pPr>
      <w:r w:rsidRPr="00423A90">
        <w:rPr>
          <w:szCs w:val="22"/>
        </w:rPr>
        <w:t xml:space="preserve">The size of groups is a debatable topic </w:t>
      </w:r>
      <w:r w:rsidRPr="00423A90">
        <w:rPr>
          <w:noProof/>
          <w:szCs w:val="22"/>
        </w:rPr>
        <w:t>(Honeyfield, 1991)</w:t>
      </w:r>
      <w:r w:rsidRPr="00423A90">
        <w:rPr>
          <w:szCs w:val="22"/>
        </w:rPr>
        <w:t xml:space="preserve">, but I have found in my teaching that a group of three or four students is the optimal size. Another topic of research is the duration of a grouping </w:t>
      </w:r>
      <w:r w:rsidRPr="00423A90">
        <w:rPr>
          <w:noProof/>
          <w:szCs w:val="22"/>
        </w:rPr>
        <w:t>(Hamlyn-Harris, Hurst, von Baggo, &amp; Bayley, 2006)</w:t>
      </w:r>
      <w:r w:rsidRPr="00423A90">
        <w:rPr>
          <w:szCs w:val="22"/>
        </w:rPr>
        <w:t xml:space="preserve">. The length of some of my courses is only eight weeks, so I maintain the same groups throughout a semester, whether it is eight or the full sixteen weeks. </w:t>
      </w:r>
    </w:p>
    <w:p w:rsidR="00AC7A0C" w:rsidRPr="00423A90" w:rsidRDefault="00AC7A0C" w:rsidP="00AC7A0C">
      <w:pPr>
        <w:rPr>
          <w:szCs w:val="22"/>
        </w:rPr>
      </w:pPr>
      <w:r w:rsidRPr="00423A90">
        <w:rPr>
          <w:szCs w:val="22"/>
        </w:rPr>
        <w:t xml:space="preserve"> Just as in a face-to-face course, students are asked to introduce themselves to the instructor and their peers with a posting in a discussion forum entitled “Meet and Greet”. The posting is required to have the perennial favorites such as name, major, hometown, classification, but I also include the requirement of a picture to be attached.  The upload serves a purpose because I can then assess which students are struggling with technology at an early stage in the course.  </w:t>
      </w:r>
    </w:p>
    <w:p w:rsidR="00AC7A0C" w:rsidRPr="00423A90" w:rsidRDefault="00AC7A0C" w:rsidP="00AC7A0C">
      <w:pPr>
        <w:rPr>
          <w:szCs w:val="22"/>
        </w:rPr>
      </w:pPr>
      <w:r w:rsidRPr="00423A90">
        <w:rPr>
          <w:szCs w:val="22"/>
        </w:rPr>
        <w:t xml:space="preserve">A secondary activity is to view </w:t>
      </w:r>
      <w:proofErr w:type="spellStart"/>
      <w:r w:rsidRPr="00423A90">
        <w:rPr>
          <w:szCs w:val="22"/>
        </w:rPr>
        <w:t>each others’</w:t>
      </w:r>
      <w:proofErr w:type="spellEnd"/>
      <w:r w:rsidRPr="00423A90">
        <w:rPr>
          <w:szCs w:val="22"/>
        </w:rPr>
        <w:t xml:space="preserve"> introductions and begin a dialogue about who the students want to be grouped with. The groups are created in Blackboard and given catchy names rather than “Group #1” prior to student access. Group names can be as easy as band leaders or elements of the periodic table, to whimsical titles such as varieties of wildflowers or names of super heroes. A new feature in Blackboard “Learn” is the self-enroll function which is liberating for me as I used to read the suggested groupings in the discussion forum then create the groups manually. With the self-enroll function, the groups are formed a week sooner and without investing my valuable time. The ability to choose their group members grants the students control and thus instills a better sense of ownership in the group </w:t>
      </w:r>
      <w:r w:rsidRPr="00423A90">
        <w:rPr>
          <w:noProof/>
          <w:szCs w:val="22"/>
        </w:rPr>
        <w:t>(Ciani, Summers, Easter, &amp; Sheldon, 2008)</w:t>
      </w:r>
      <w:r w:rsidRPr="00423A90">
        <w:rPr>
          <w:szCs w:val="22"/>
        </w:rPr>
        <w:t>.</w:t>
      </w:r>
    </w:p>
    <w:p w:rsidR="00AC7A0C" w:rsidRPr="00423A90" w:rsidRDefault="00AC7A0C" w:rsidP="00AC7A0C">
      <w:pPr>
        <w:pStyle w:val="Heading4"/>
      </w:pPr>
      <w:r w:rsidRPr="00423A90">
        <w:t xml:space="preserve">Step 2 - Provide a formative group self-assessment before </w:t>
      </w:r>
      <w:r>
        <w:br/>
      </w:r>
      <w:r w:rsidRPr="00423A90">
        <w:t>the first summative assessment:</w:t>
      </w:r>
    </w:p>
    <w:p w:rsidR="00AC7A0C" w:rsidRPr="00423A90" w:rsidRDefault="00AC7A0C" w:rsidP="00AC7A0C">
      <w:pPr>
        <w:rPr>
          <w:szCs w:val="22"/>
        </w:rPr>
      </w:pPr>
      <w:r w:rsidRPr="00423A90">
        <w:rPr>
          <w:szCs w:val="22"/>
        </w:rPr>
        <w:t xml:space="preserve">The newly-formed small group needs a period of time to get used to each other and warm-up, much like an athletic team or musical ensemble. </w:t>
      </w:r>
      <w:r w:rsidRPr="00423A90">
        <w:rPr>
          <w:noProof/>
          <w:szCs w:val="22"/>
        </w:rPr>
        <w:t>Mandernach (2010)</w:t>
      </w:r>
      <w:r w:rsidRPr="00423A90">
        <w:rPr>
          <w:szCs w:val="22"/>
        </w:rPr>
        <w:t xml:space="preserve"> suggested one of the first activities for a group to engage in, as a formative assessment, is the discernment of up to six methods of communication that the group could use during the course. I adopted this technique in my course and found the usual answers of email, texting, synchronous chat, and conference call. However, technology allows for so much more with Wimba, Skype, </w:t>
      </w:r>
      <w:proofErr w:type="spellStart"/>
      <w:r w:rsidRPr="00423A90">
        <w:rPr>
          <w:szCs w:val="22"/>
        </w:rPr>
        <w:t>FaceTime</w:t>
      </w:r>
      <w:proofErr w:type="spellEnd"/>
      <w:r w:rsidRPr="00423A90">
        <w:rPr>
          <w:szCs w:val="22"/>
        </w:rPr>
        <w:t xml:space="preserve">, </w:t>
      </w:r>
      <w:proofErr w:type="spellStart"/>
      <w:r w:rsidRPr="00423A90">
        <w:rPr>
          <w:szCs w:val="22"/>
        </w:rPr>
        <w:t>GoogleDocs</w:t>
      </w:r>
      <w:proofErr w:type="spellEnd"/>
      <w:r w:rsidRPr="00423A90">
        <w:rPr>
          <w:szCs w:val="22"/>
        </w:rPr>
        <w:t xml:space="preserve">, Facebook messaging, and Wikis. While I dread introducing new technologies to my students, I do urge them to consider going beyond the obvious four methods of communication.  </w:t>
      </w:r>
    </w:p>
    <w:p w:rsidR="00AC7A0C" w:rsidRPr="00423A90" w:rsidRDefault="00AC7A0C" w:rsidP="00AC7A0C">
      <w:pPr>
        <w:rPr>
          <w:szCs w:val="22"/>
        </w:rPr>
      </w:pPr>
      <w:r w:rsidRPr="00423A90">
        <w:rPr>
          <w:szCs w:val="22"/>
        </w:rPr>
        <w:t xml:space="preserve">The formative nature of the early assessment is only to allow students the opportunity to work together and discover the issues that may plague them for the rest of the semester. </w:t>
      </w:r>
      <w:r w:rsidRPr="00423A90">
        <w:rPr>
          <w:noProof/>
          <w:szCs w:val="22"/>
        </w:rPr>
        <w:t>Bart (2010)</w:t>
      </w:r>
      <w:r w:rsidRPr="00423A90">
        <w:rPr>
          <w:szCs w:val="22"/>
        </w:rPr>
        <w:t xml:space="preserve"> suggested that faculty provide low-stake opportunities for initial group work before gearing up to tackle larger problems. Members of small groups have independent lives with careers and responsibilities outside of the course.  The dynamics of a small group need to be flexible and able to withstand the trials of power outages, computer viruses, new work schedules, medical emergencies, and the occasional vacation of a member during the course. Establishing strong communication and planning habits in small groups as the first activity is essential to the success of a group.</w:t>
      </w:r>
    </w:p>
    <w:p w:rsidR="00AC7A0C" w:rsidRPr="00423A90" w:rsidRDefault="00AC7A0C" w:rsidP="00AC7A0C">
      <w:pPr>
        <w:rPr>
          <w:szCs w:val="22"/>
        </w:rPr>
      </w:pPr>
      <w:r w:rsidRPr="00423A90">
        <w:rPr>
          <w:szCs w:val="22"/>
        </w:rPr>
        <w:t xml:space="preserve">Early in the group communication, I enter their forum and describe how grades are calculated. This serves to motivate the group to engage in activities, but also reminds the individuals that their course grade is somewhat buffered in the rare case a group member falls silent during the semester. </w:t>
      </w:r>
    </w:p>
    <w:p w:rsidR="00AC7A0C" w:rsidRPr="00423A90" w:rsidRDefault="00AC7A0C" w:rsidP="00AC7A0C">
      <w:pPr>
        <w:rPr>
          <w:szCs w:val="22"/>
        </w:rPr>
      </w:pPr>
      <w:r w:rsidRPr="00423A90">
        <w:rPr>
          <w:szCs w:val="22"/>
        </w:rPr>
        <w:t xml:space="preserve">I also use that opportunity to describe, as in my syllabus, the justification for doing group activities. Working in groups often increases involvement in learning because sharing one’s ideas and responding to others’ improves thinking and deepens understanding of the content. In today’s workforce society of offices, committees, hierarchical management, and shared governance, learning to work and produce collaboratively is a highly-valued skill by employers. A survey </w:t>
      </w:r>
      <w:r w:rsidRPr="00423A90">
        <w:rPr>
          <w:noProof/>
          <w:szCs w:val="22"/>
        </w:rPr>
        <w:t>(Casner-Lotto &amp; Barrington, 2006)</w:t>
      </w:r>
      <w:r w:rsidRPr="00423A90">
        <w:rPr>
          <w:szCs w:val="22"/>
        </w:rPr>
        <w:t xml:space="preserve"> of 400 American employers identified the top five skills considered to be “very important” for university graduates as oral communications, teamwork/collaboration, work ethic, written communication, and problem solving. Four of these five skills are directly applied in well-designed online group activities.</w:t>
      </w:r>
    </w:p>
    <w:p w:rsidR="00AC7A0C" w:rsidRPr="00423A90" w:rsidRDefault="00AC7A0C" w:rsidP="00AC7A0C">
      <w:pPr>
        <w:rPr>
          <w:szCs w:val="22"/>
        </w:rPr>
      </w:pPr>
      <w:r w:rsidRPr="00423A90">
        <w:rPr>
          <w:szCs w:val="22"/>
        </w:rPr>
        <w:t>The concept of collaboration is not new to teachers, but it may be to some of the students, so describing how to learn collaboratively is helpful. Students who have no siblings may not understand the concept of how to interact with classmates, divide and assume tasks, problem solve, constructively criticize, construct a collaborative product - a sum of the parts. For these students, I have posted remedial scaffolding throughout the activity to help guide them toward the socially accepted behavior.</w:t>
      </w:r>
    </w:p>
    <w:p w:rsidR="00AC7A0C" w:rsidRPr="00423A90" w:rsidRDefault="00AC7A0C" w:rsidP="00AC7A0C">
      <w:pPr>
        <w:pStyle w:val="Heading4"/>
        <w:rPr>
          <w:i w:val="0"/>
        </w:rPr>
      </w:pPr>
      <w:r w:rsidRPr="00423A90">
        <w:t>Step 3 - Create an ill-structured problem for students to investigate or solve:</w:t>
      </w:r>
    </w:p>
    <w:p w:rsidR="00AC7A0C" w:rsidRPr="00423A90" w:rsidRDefault="00AC7A0C" w:rsidP="00AC7A0C">
      <w:pPr>
        <w:rPr>
          <w:szCs w:val="22"/>
        </w:rPr>
      </w:pPr>
      <w:r w:rsidRPr="00423A90">
        <w:rPr>
          <w:noProof/>
          <w:szCs w:val="22"/>
        </w:rPr>
        <w:t>Jonassen (1993, p. 238)</w:t>
      </w:r>
      <w:r w:rsidRPr="00423A90">
        <w:rPr>
          <w:szCs w:val="22"/>
        </w:rPr>
        <w:t xml:space="preserve"> described that an ill-structured problem is relevant to the student and the course, allows students a portion of control in the task, and contains clear guidelines. All too often, I find faculty-created collaborative activities that are much more easily completed by an individual than by the group. Thus, a small group struggles to accomplish the activity and a leader emerges to complete the project for the group. If a group activity is to be successful, it should be exceptionally well constructed. </w:t>
      </w:r>
    </w:p>
    <w:p w:rsidR="00AC7A0C" w:rsidRPr="00423A90" w:rsidRDefault="00AC7A0C" w:rsidP="00AC7A0C">
      <w:pPr>
        <w:rPr>
          <w:szCs w:val="22"/>
        </w:rPr>
      </w:pPr>
      <w:r w:rsidRPr="00423A90">
        <w:rPr>
          <w:szCs w:val="22"/>
        </w:rPr>
        <w:t xml:space="preserve">Creating the problem is challenging and a tedious process full of landmines. In a larger course online, once a problem’s solution is posted, the other groups could replicate the answer unless the assigned task has multiple solutions or outcomes. Thus, student control allows groups to tailor their product, within the stated guidelines, to create a unique solution.  </w:t>
      </w:r>
    </w:p>
    <w:p w:rsidR="00AC7A0C" w:rsidRPr="00423A90" w:rsidRDefault="00AC7A0C" w:rsidP="00AC7A0C">
      <w:pPr>
        <w:rPr>
          <w:szCs w:val="22"/>
        </w:rPr>
      </w:pPr>
      <w:r w:rsidRPr="00423A90">
        <w:rPr>
          <w:szCs w:val="22"/>
        </w:rPr>
        <w:t xml:space="preserve">I build activities using a story that includes the rubric directly in the story. The motivation for the student is the fun or creativity of the story, but the rubric needs to be a part of the story so the group understands the grading expectation. I avoid specifying which technologies to use, as it limits the creativity of their product. However, some activities require a simple response method (see Figure 1). By specifying a particular technology, a student may need to purchase or learn that technology before completing the activity.  In such a case, the student spends their valuable time learning a technology instead of course content. In some disciplines, the technology is critical and thus necessary to course objectives - such as statistics, engineering, or computer science.  </w:t>
      </w:r>
    </w:p>
    <w:p w:rsidR="00AC7A0C" w:rsidRPr="00F1038C" w:rsidRDefault="00AC7A0C" w:rsidP="00AC7A0C">
      <w:pPr>
        <w:pStyle w:val="Heading5"/>
      </w:pPr>
      <w:r w:rsidRPr="00423A90">
        <w:rPr>
          <w:noProof/>
        </w:rPr>
        <w:drawing>
          <wp:inline distT="0" distB="0" distL="0" distR="0" wp14:anchorId="5CC3604B" wp14:editId="4E51F86F">
            <wp:extent cx="5509260" cy="3604260"/>
            <wp:effectExtent l="19050" t="19050" r="15240" b="15240"/>
            <wp:docPr id="5" name="Picture 1" descr="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09260" cy="3604260"/>
                    </a:xfrm>
                    <a:prstGeom prst="rect">
                      <a:avLst/>
                    </a:prstGeom>
                    <a:noFill/>
                    <a:ln w="9525">
                      <a:solidFill>
                        <a:schemeClr val="tx1"/>
                      </a:solidFill>
                    </a:ln>
                  </pic:spPr>
                </pic:pic>
              </a:graphicData>
            </a:graphic>
          </wp:inline>
        </w:drawing>
      </w:r>
      <w:r w:rsidRPr="00F1038C">
        <w:t>Figure 2: Jazz History course, Swing activity for small groups</w:t>
      </w:r>
      <w:r>
        <w:br/>
      </w:r>
    </w:p>
    <w:p w:rsidR="00AC7A0C" w:rsidRPr="00423A90" w:rsidRDefault="00AC7A0C" w:rsidP="00AC7A0C">
      <w:pPr>
        <w:pStyle w:val="Heading4"/>
        <w:rPr>
          <w:i w:val="0"/>
          <w:iCs/>
        </w:rPr>
      </w:pPr>
      <w:r w:rsidRPr="00423A90">
        <w:rPr>
          <w:iCs/>
        </w:rPr>
        <w:t>Step 4 - State learning objectives suggesting the student groups’ final products:</w:t>
      </w:r>
    </w:p>
    <w:p w:rsidR="00AC7A0C" w:rsidRPr="00423A90" w:rsidRDefault="00AC7A0C" w:rsidP="00AC7A0C">
      <w:pPr>
        <w:rPr>
          <w:szCs w:val="22"/>
        </w:rPr>
      </w:pPr>
      <w:r w:rsidRPr="00423A90">
        <w:rPr>
          <w:szCs w:val="22"/>
        </w:rPr>
        <w:t xml:space="preserve">Planning and development of any instruction should rest on the careful definition of the course goals. What is it that I want the students to be able to do at the end of the course? In addition to course-level goals, learning objectives are created for each module or unit of the course. A learning objective generally adheres to the categories first described by </w:t>
      </w:r>
      <w:r w:rsidRPr="00423A90">
        <w:rPr>
          <w:noProof/>
          <w:szCs w:val="22"/>
        </w:rPr>
        <w:t>Bloom (1956)</w:t>
      </w:r>
      <w:r w:rsidRPr="00423A90">
        <w:rPr>
          <w:szCs w:val="22"/>
        </w:rPr>
        <w:t>: knowledge, comprehension, application, analysis, synthesis, and evaluation. Several locations on the Internet are available for selecting verbs to start the learning objective. A Google search will locate many helpful websites.</w:t>
      </w:r>
    </w:p>
    <w:p w:rsidR="00AC7A0C" w:rsidRPr="00423A90" w:rsidRDefault="00AC7A0C" w:rsidP="00AC7A0C">
      <w:pPr>
        <w:rPr>
          <w:szCs w:val="22"/>
        </w:rPr>
      </w:pPr>
      <w:r w:rsidRPr="00423A90">
        <w:rPr>
          <w:szCs w:val="22"/>
        </w:rPr>
        <w:t>The learning objective communicates the actions, performance criteria, and conditions of what students will be able to do upon completing a module or unit in the course. Students should be able to discern what the final product will look or sound like in order to begin an activity. I refrain from providing examples to students as the example tends to be treated as a model and thus replicated in some fashion. I am more interested in the creativity of each group’s solution or product than I am in the homogenous nature of the class’ products.</w:t>
      </w:r>
    </w:p>
    <w:p w:rsidR="00AC7A0C" w:rsidRPr="00423A90" w:rsidRDefault="00AC7A0C" w:rsidP="00AC7A0C">
      <w:pPr>
        <w:rPr>
          <w:szCs w:val="22"/>
        </w:rPr>
      </w:pPr>
      <w:r w:rsidRPr="00423A90">
        <w:rPr>
          <w:szCs w:val="22"/>
        </w:rPr>
        <w:t xml:space="preserve">Course goals and learning objectives must be </w:t>
      </w:r>
      <w:r w:rsidRPr="00423A90">
        <w:rPr>
          <w:i/>
          <w:iCs/>
          <w:szCs w:val="22"/>
        </w:rPr>
        <w:t>measurable and observable.</w:t>
      </w:r>
      <w:r w:rsidRPr="00423A90">
        <w:rPr>
          <w:szCs w:val="22"/>
        </w:rPr>
        <w:t xml:space="preserve"> When reviewing courses for my peers, I find course-level goals stating: “Increase student awareness of…” Such a goal is not easily measurable or observed. Transform the goal, specifying a student product or action that is observable and measurable and, thus, a much stronger goal for assessment.  </w:t>
      </w:r>
    </w:p>
    <w:p w:rsidR="00AC7A0C" w:rsidRPr="00423A90" w:rsidRDefault="00AC7A0C" w:rsidP="00AC7A0C">
      <w:pPr>
        <w:rPr>
          <w:szCs w:val="22"/>
        </w:rPr>
      </w:pPr>
      <w:r w:rsidRPr="00423A90">
        <w:rPr>
          <w:szCs w:val="22"/>
        </w:rPr>
        <w:t xml:space="preserve">In my reviews of others’ courses, I also find learning objectives that are not readily available to the students, but tucked away for instructor reference. The learning objectives are for both faculty and students. Faculty need the statements to ensure the lesson is structured and focused, while students need the learning objective to make certain they have gleaned all the skills necessary for successful course completion. I place the learning objectives first in my online courses, just as face-to-face teachers place the objectives on the blackboard at the start of a lesson.  </w:t>
      </w:r>
    </w:p>
    <w:p w:rsidR="00AC7A0C" w:rsidRPr="00423A90" w:rsidRDefault="00AC7A0C" w:rsidP="00AC7A0C">
      <w:pPr>
        <w:pStyle w:val="Heading4"/>
        <w:rPr>
          <w:i w:val="0"/>
        </w:rPr>
      </w:pPr>
      <w:r w:rsidRPr="00423A90">
        <w:t xml:space="preserve">Step 5 - Set a timeline and sequence of steps toward achieving </w:t>
      </w:r>
      <w:r>
        <w:br/>
      </w:r>
      <w:r w:rsidRPr="00423A90">
        <w:t>the objectives to illustrate the value of the process:</w:t>
      </w:r>
    </w:p>
    <w:p w:rsidR="00AC7A0C" w:rsidRPr="00423A90" w:rsidRDefault="00AC7A0C" w:rsidP="00AC7A0C">
      <w:pPr>
        <w:rPr>
          <w:szCs w:val="22"/>
        </w:rPr>
      </w:pPr>
      <w:r w:rsidRPr="00423A90">
        <w:rPr>
          <w:szCs w:val="22"/>
        </w:rPr>
        <w:t xml:space="preserve">Online courses vary in length and a timeline is important in order for students to plan accordingly. In my eight-week course, I present the term paper in the third week and start a process of topic selection and thesis writing so as to avoid the last-minute panic (see Figure 2). A subsequent week requests students to email a rough draft to the campus writing center for help with content, clarity, and grammar. The process of the term paper is graded, as well as the final product. The rigid process can be cumbersome, but has resulted in better student research practices.  </w:t>
      </w:r>
    </w:p>
    <w:p w:rsidR="00AC7A0C" w:rsidRPr="00423A90" w:rsidRDefault="00AC7A0C" w:rsidP="00AC7A0C">
      <w:pPr>
        <w:rPr>
          <w:szCs w:val="22"/>
        </w:rPr>
      </w:pPr>
      <w:r w:rsidRPr="00423A90">
        <w:rPr>
          <w:noProof/>
          <w:szCs w:val="22"/>
        </w:rPr>
        <w:drawing>
          <wp:inline distT="0" distB="0" distL="0" distR="0" wp14:anchorId="273FBB72" wp14:editId="5306DA6E">
            <wp:extent cx="5505450" cy="4238625"/>
            <wp:effectExtent l="19050" t="19050" r="19050" b="28575"/>
            <wp:docPr id="6" name="Picture 2" descr="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11155" cy="4243018"/>
                    </a:xfrm>
                    <a:prstGeom prst="rect">
                      <a:avLst/>
                    </a:prstGeom>
                    <a:noFill/>
                    <a:ln w="9525">
                      <a:solidFill>
                        <a:schemeClr val="tx1"/>
                      </a:solidFill>
                    </a:ln>
                  </pic:spPr>
                </pic:pic>
              </a:graphicData>
            </a:graphic>
          </wp:inline>
        </w:drawing>
      </w:r>
    </w:p>
    <w:p w:rsidR="00515AB6" w:rsidRDefault="00AC7A0C" w:rsidP="00AC7A0C">
      <w:pPr>
        <w:pStyle w:val="Heading5"/>
      </w:pPr>
      <w:r w:rsidRPr="00F1038C">
        <w:t xml:space="preserve">Figure 3: History of American Music Education, Term paper presentation </w:t>
      </w:r>
      <w:r>
        <w:t>-</w:t>
      </w:r>
      <w:r w:rsidRPr="00F1038C">
        <w:t xml:space="preserve"> week #3</w:t>
      </w:r>
    </w:p>
    <w:p w:rsidR="00515AB6" w:rsidRDefault="00515AB6" w:rsidP="00515AB6">
      <w:pPr>
        <w:rPr>
          <w:rFonts w:ascii="Arial" w:hAnsi="Arial"/>
        </w:rPr>
      </w:pPr>
      <w:r>
        <w:br w:type="page"/>
      </w:r>
    </w:p>
    <w:p w:rsidR="00515AB6" w:rsidRPr="00423A90" w:rsidRDefault="00515AB6" w:rsidP="00515AB6">
      <w:pPr>
        <w:rPr>
          <w:szCs w:val="22"/>
        </w:rPr>
      </w:pPr>
      <w:r w:rsidRPr="00423A90">
        <w:rPr>
          <w:szCs w:val="22"/>
        </w:rPr>
        <w:t xml:space="preserve">A challenge that even I struggle to overcome is illustrating the process of the group collaboration into the overall grade for the assignment. </w:t>
      </w:r>
      <w:proofErr w:type="spellStart"/>
      <w:r w:rsidRPr="00423A90">
        <w:rPr>
          <w:szCs w:val="22"/>
        </w:rPr>
        <w:t>Mandernach</w:t>
      </w:r>
      <w:proofErr w:type="spellEnd"/>
      <w:r w:rsidRPr="00423A90">
        <w:rPr>
          <w:szCs w:val="22"/>
        </w:rPr>
        <w:t xml:space="preserve"> (2010) discussed how she included a process component in each group project grade. One way she evidenced the process grade is her “Divide – Conquer – Converge” method for online teaching. The small groups are asked to email each other ideas about how to divide the assigned task, complete their components of the assigned </w:t>
      </w:r>
      <w:proofErr w:type="gramStart"/>
      <w:r w:rsidRPr="00423A90">
        <w:rPr>
          <w:szCs w:val="22"/>
        </w:rPr>
        <w:t>task,</w:t>
      </w:r>
      <w:proofErr w:type="gramEnd"/>
      <w:r w:rsidRPr="00423A90">
        <w:rPr>
          <w:szCs w:val="22"/>
        </w:rPr>
        <w:t xml:space="preserve"> then converge to share and finish the activity for a grade. The process is evidenced in the division of the work and convergence where the final product is constructed.  </w:t>
      </w:r>
    </w:p>
    <w:p w:rsidR="00515AB6" w:rsidRPr="00423A90" w:rsidRDefault="00515AB6" w:rsidP="00515AB6">
      <w:pPr>
        <w:rPr>
          <w:szCs w:val="22"/>
        </w:rPr>
      </w:pPr>
      <w:r w:rsidRPr="00423A90">
        <w:rPr>
          <w:szCs w:val="22"/>
        </w:rPr>
        <w:t xml:space="preserve">The intensity of a short eight-week course is troublesome for a social constructivist educator such as </w:t>
      </w:r>
      <w:proofErr w:type="gramStart"/>
      <w:r w:rsidRPr="00423A90">
        <w:rPr>
          <w:szCs w:val="22"/>
        </w:rPr>
        <w:t>myself</w:t>
      </w:r>
      <w:proofErr w:type="gramEnd"/>
      <w:r w:rsidRPr="00423A90">
        <w:rPr>
          <w:szCs w:val="22"/>
        </w:rPr>
        <w:t xml:space="preserve">. Most small groups spend a couple weeks getting to know one another before the best work emerges. I often find the best small group projects are toward the end of the group’s work, not at the beginning of the course. When constructing an activity, I attempt to increase the complexity of projects as the course progresses. The group members are able to meet the higher expectations because of the solid foundation created by previous weeks’ work together.   </w:t>
      </w:r>
    </w:p>
    <w:p w:rsidR="00AC7A0C" w:rsidRPr="00423A90" w:rsidRDefault="00AC7A0C" w:rsidP="00AC7A0C">
      <w:pPr>
        <w:pStyle w:val="Heading4"/>
        <w:rPr>
          <w:i w:val="0"/>
        </w:rPr>
      </w:pPr>
      <w:r w:rsidRPr="00423A90">
        <w:t>Step 6 - Create motivation for students:</w:t>
      </w:r>
    </w:p>
    <w:p w:rsidR="00AC7A0C" w:rsidRPr="00423A90" w:rsidRDefault="00AC7A0C" w:rsidP="00AC7A0C">
      <w:pPr>
        <w:rPr>
          <w:szCs w:val="22"/>
        </w:rPr>
      </w:pPr>
      <w:r w:rsidRPr="00423A90">
        <w:rPr>
          <w:szCs w:val="22"/>
        </w:rPr>
        <w:t xml:space="preserve">One way to motivate students is to honor their learning style: visual, kinesthetic, or auditory. In one activity, I use or suggest projects that use diagrams, videos, or provide links to performers' websites to engage the visual learner. Another unit involves audio files for lectures and music examples or grading discussion threads inside the Learning Management System forums for the auditory learners. In another unit, to help the kinesthetic learners, I ask them to engage in physical experiments to measure the length of time the learner can hold a stream of air steady. They can then understand how challenging it can be to perform extended phrases.  </w:t>
      </w:r>
    </w:p>
    <w:p w:rsidR="00AC7A0C" w:rsidRPr="00423A90" w:rsidRDefault="00AC7A0C" w:rsidP="00AC7A0C">
      <w:pPr>
        <w:rPr>
          <w:szCs w:val="22"/>
        </w:rPr>
      </w:pPr>
      <w:r w:rsidRPr="00423A90">
        <w:rPr>
          <w:szCs w:val="22"/>
        </w:rPr>
        <w:t>I refrain from offering extra credit in my online courses as the majority of the students who would complete the activities do not need the extra points. Instead, I am a cheerleader for my students' work – citing the first to post their product, most innovative approach to the solution, most comical response, and the typical class favorite - the most commented-on thread of a unit's discussion.</w:t>
      </w:r>
    </w:p>
    <w:p w:rsidR="00AC7A0C" w:rsidRPr="00423A90" w:rsidRDefault="00AC7A0C" w:rsidP="00AC7A0C">
      <w:pPr>
        <w:rPr>
          <w:szCs w:val="22"/>
        </w:rPr>
      </w:pPr>
      <w:r w:rsidRPr="00423A90">
        <w:rPr>
          <w:szCs w:val="22"/>
        </w:rPr>
        <w:t>Another place to use the cheerleader technique is in regular class-wide communication such as a weekly email or daily blog entry. When I highlight a particularly successful project from the last unit, two things happen: others go back to view the project to see what I consider "good," and the creators of that project are given a cyber-pat on the back for a job well done. I think of it as the online educator's version of adjacent peer reinforcement.</w:t>
      </w:r>
    </w:p>
    <w:p w:rsidR="00AC7A0C" w:rsidRPr="00423A90" w:rsidRDefault="00AC7A0C" w:rsidP="00AC7A0C">
      <w:pPr>
        <w:rPr>
          <w:szCs w:val="22"/>
        </w:rPr>
      </w:pPr>
      <w:r w:rsidRPr="00423A90">
        <w:rPr>
          <w:szCs w:val="22"/>
        </w:rPr>
        <w:t xml:space="preserve">I also send each group an email after the first couple activities are completed, asking for an individual reply to tell me how things are going for that group. In my email, I suggest they reflect upon who is contributing and present in the discussions, who appears to be the leader of the group, who is best with technology, what struggles the group has facing them, and to identify how they have contributed to the recent projects. I title the email "pulse check" and actually intend for it to be my tool to root out any individuals not contributing.  However, students often start their reply by thanking me for asking them about the course and how to help them. I believe the "pulse check" is a motivating communication.  </w:t>
      </w:r>
    </w:p>
    <w:p w:rsidR="00AC7A0C" w:rsidRPr="00423A90" w:rsidRDefault="00AC7A0C" w:rsidP="00AC7A0C">
      <w:pPr>
        <w:pStyle w:val="Heading4"/>
        <w:rPr>
          <w:i w:val="0"/>
        </w:rPr>
      </w:pPr>
      <w:r w:rsidRPr="00423A90">
        <w:t>Step 7 - Suggest the various roles for each member of a group:</w:t>
      </w:r>
    </w:p>
    <w:p w:rsidR="00AC7A0C" w:rsidRPr="00423A90" w:rsidRDefault="00AC7A0C" w:rsidP="00AC7A0C">
      <w:pPr>
        <w:rPr>
          <w:szCs w:val="22"/>
        </w:rPr>
      </w:pPr>
      <w:r w:rsidRPr="00423A90">
        <w:rPr>
          <w:szCs w:val="22"/>
        </w:rPr>
        <w:t xml:space="preserve">Small groups in online courses can be stressful for students. Some students have a natural affinity for small group work while others bristle at the thought of turning over control of part of their grade to a peer. An activity must include natural barriers so students can begin their process of dividing up the activity into manageable portions, which helps to alleviate overwhelming stress felt by some students.  </w:t>
      </w:r>
    </w:p>
    <w:p w:rsidR="00AC7A0C" w:rsidRPr="00423A90" w:rsidRDefault="00AC7A0C" w:rsidP="00AC7A0C">
      <w:pPr>
        <w:rPr>
          <w:szCs w:val="22"/>
        </w:rPr>
      </w:pPr>
      <w:r w:rsidRPr="00423A90">
        <w:rPr>
          <w:szCs w:val="22"/>
        </w:rPr>
        <w:t xml:space="preserve">In the Auction Box Contents activity (Figure 1), the riddle’s first two lines could be one group member’s task while lines three and four are completed by two other members.  The fifth and sixth lines are best accomplished after synthesizing the material of the three group members and adding remaining musicians/bands (while carefully avoiding band leaders, drummers, trumpets, or female singers).  </w:t>
      </w:r>
    </w:p>
    <w:p w:rsidR="00AC7A0C" w:rsidRPr="00423A90" w:rsidRDefault="00AC7A0C" w:rsidP="00AC7A0C">
      <w:pPr>
        <w:rPr>
          <w:szCs w:val="22"/>
        </w:rPr>
      </w:pPr>
      <w:r w:rsidRPr="00423A90">
        <w:rPr>
          <w:szCs w:val="22"/>
        </w:rPr>
        <w:t xml:space="preserve">The “Divide – Conquer – Converge” technique described by </w:t>
      </w:r>
      <w:proofErr w:type="spellStart"/>
      <w:r w:rsidRPr="00423A90">
        <w:rPr>
          <w:szCs w:val="22"/>
        </w:rPr>
        <w:t>Mandernach</w:t>
      </w:r>
      <w:proofErr w:type="spellEnd"/>
      <w:r w:rsidRPr="00423A90">
        <w:rPr>
          <w:szCs w:val="22"/>
        </w:rPr>
        <w:t xml:space="preserve"> (2010) works to evenly distribute work and to converge in order to construct the final product.  Group members who are late to the convergence--or absent altogether--create tension for the others. In such cases, I remind students about peer evaluation and my ability to view the work contributions using </w:t>
      </w:r>
      <w:proofErr w:type="spellStart"/>
      <w:r w:rsidRPr="00423A90">
        <w:rPr>
          <w:szCs w:val="22"/>
        </w:rPr>
        <w:t>GoogleDocs</w:t>
      </w:r>
      <w:proofErr w:type="spellEnd"/>
      <w:r w:rsidRPr="00423A90">
        <w:rPr>
          <w:szCs w:val="22"/>
        </w:rPr>
        <w:t>.</w:t>
      </w:r>
    </w:p>
    <w:p w:rsidR="00AC7A0C" w:rsidRPr="00423A90" w:rsidRDefault="00AC7A0C" w:rsidP="00AC7A0C">
      <w:pPr>
        <w:rPr>
          <w:szCs w:val="22"/>
        </w:rPr>
      </w:pPr>
      <w:r w:rsidRPr="00423A90">
        <w:rPr>
          <w:szCs w:val="22"/>
        </w:rPr>
        <w:t xml:space="preserve">Group accountability can be measured by the attainment of the stated learning objectives and by using a rubric for grading that is shared with the students during statement of the problem (see step #3). Roles can be assigned by lines of the riddle (Figure 1) or generic title assignments such as leader (facilitates discussions), initiator (brainstorms new ideas), recorder (records ideas), skeptic (cites potential flaws in ideas), optimist (mains positivity in the group), timekeeper (helps set goals for stages of the process), gate keeper (ensures that each member participates), and summarizer (synthesizes, collects, and reports options).  </w:t>
      </w:r>
    </w:p>
    <w:p w:rsidR="00AC7A0C" w:rsidRPr="00423A90" w:rsidRDefault="00AC7A0C" w:rsidP="00AC7A0C">
      <w:pPr>
        <w:pStyle w:val="Heading3"/>
      </w:pPr>
      <w:r w:rsidRPr="005A6D23">
        <w:t>Using the Checklist</w:t>
      </w:r>
    </w:p>
    <w:p w:rsidR="00AC7A0C" w:rsidRPr="00423A90" w:rsidRDefault="00AC7A0C" w:rsidP="00AC7A0C">
      <w:pPr>
        <w:rPr>
          <w:szCs w:val="22"/>
        </w:rPr>
      </w:pPr>
      <w:r w:rsidRPr="00423A90">
        <w:rPr>
          <w:szCs w:val="22"/>
        </w:rPr>
        <w:t>A group learning project must be well-structured if it is to be successful. The checklist helps to insure my collaborative learning projects are as successful as possible each semester.</w:t>
      </w:r>
    </w:p>
    <w:p w:rsidR="00AC7A0C" w:rsidRPr="00423A90" w:rsidRDefault="00AC7A0C" w:rsidP="00DF1FE9">
      <w:pPr>
        <w:pStyle w:val="ListParagraph"/>
        <w:numPr>
          <w:ilvl w:val="0"/>
          <w:numId w:val="3"/>
        </w:numPr>
        <w:spacing w:before="60" w:after="60"/>
        <w:contextualSpacing w:val="0"/>
        <w:rPr>
          <w:szCs w:val="22"/>
        </w:rPr>
      </w:pPr>
      <w:r w:rsidRPr="00423A90">
        <w:rPr>
          <w:szCs w:val="22"/>
        </w:rPr>
        <w:t>Design group size</w:t>
      </w:r>
      <w:r w:rsidR="004B10F3">
        <w:rPr>
          <w:szCs w:val="22"/>
        </w:rPr>
        <w:t xml:space="preserve"> and</w:t>
      </w:r>
      <w:r w:rsidRPr="00423A90">
        <w:rPr>
          <w:szCs w:val="22"/>
        </w:rPr>
        <w:t xml:space="preserve"> duration</w:t>
      </w:r>
      <w:r w:rsidR="004B10F3">
        <w:rPr>
          <w:szCs w:val="22"/>
        </w:rPr>
        <w:t>;</w:t>
      </w:r>
      <w:r w:rsidRPr="00423A90">
        <w:rPr>
          <w:szCs w:val="22"/>
        </w:rPr>
        <w:t xml:space="preserve"> divide up students into groups</w:t>
      </w:r>
      <w:r>
        <w:rPr>
          <w:szCs w:val="22"/>
        </w:rPr>
        <w:t>.</w:t>
      </w:r>
    </w:p>
    <w:p w:rsidR="00AC7A0C" w:rsidRPr="00423A90" w:rsidRDefault="00AC7A0C" w:rsidP="00DF1FE9">
      <w:pPr>
        <w:pStyle w:val="ListParagraph"/>
        <w:numPr>
          <w:ilvl w:val="0"/>
          <w:numId w:val="3"/>
        </w:numPr>
        <w:spacing w:before="60" w:after="60"/>
        <w:contextualSpacing w:val="0"/>
        <w:rPr>
          <w:szCs w:val="22"/>
        </w:rPr>
      </w:pPr>
      <w:r w:rsidRPr="00423A90">
        <w:rPr>
          <w:szCs w:val="22"/>
        </w:rPr>
        <w:t>Provide a formative group self-assessment before the first summative assessment</w:t>
      </w:r>
      <w:r>
        <w:rPr>
          <w:szCs w:val="22"/>
        </w:rPr>
        <w:t>.</w:t>
      </w:r>
    </w:p>
    <w:p w:rsidR="00AC7A0C" w:rsidRPr="00423A90" w:rsidRDefault="00AC7A0C" w:rsidP="00DF1FE9">
      <w:pPr>
        <w:pStyle w:val="ListParagraph"/>
        <w:numPr>
          <w:ilvl w:val="0"/>
          <w:numId w:val="3"/>
        </w:numPr>
        <w:spacing w:before="60" w:after="60"/>
        <w:contextualSpacing w:val="0"/>
        <w:rPr>
          <w:szCs w:val="22"/>
        </w:rPr>
      </w:pPr>
      <w:r w:rsidRPr="00423A90">
        <w:rPr>
          <w:szCs w:val="22"/>
        </w:rPr>
        <w:t>Create an ill-structured problem for students to investigate or solve</w:t>
      </w:r>
      <w:r>
        <w:rPr>
          <w:szCs w:val="22"/>
        </w:rPr>
        <w:t>.</w:t>
      </w:r>
    </w:p>
    <w:p w:rsidR="00AC7A0C" w:rsidRPr="00423A90" w:rsidRDefault="00AC7A0C" w:rsidP="00DF1FE9">
      <w:pPr>
        <w:pStyle w:val="ListParagraph"/>
        <w:numPr>
          <w:ilvl w:val="0"/>
          <w:numId w:val="3"/>
        </w:numPr>
        <w:spacing w:before="60" w:after="60"/>
        <w:contextualSpacing w:val="0"/>
        <w:rPr>
          <w:szCs w:val="22"/>
        </w:rPr>
      </w:pPr>
      <w:r w:rsidRPr="00423A90">
        <w:rPr>
          <w:szCs w:val="22"/>
        </w:rPr>
        <w:t>State learning objectives suggesting the student groups’ final products</w:t>
      </w:r>
      <w:r>
        <w:rPr>
          <w:szCs w:val="22"/>
        </w:rPr>
        <w:t>.</w:t>
      </w:r>
    </w:p>
    <w:p w:rsidR="00AC7A0C" w:rsidRPr="00423A90" w:rsidRDefault="00AC7A0C" w:rsidP="00DF1FE9">
      <w:pPr>
        <w:pStyle w:val="ListParagraph"/>
        <w:numPr>
          <w:ilvl w:val="0"/>
          <w:numId w:val="3"/>
        </w:numPr>
        <w:spacing w:before="60" w:after="60"/>
        <w:contextualSpacing w:val="0"/>
        <w:rPr>
          <w:szCs w:val="22"/>
        </w:rPr>
      </w:pPr>
      <w:r w:rsidRPr="00423A90">
        <w:rPr>
          <w:szCs w:val="22"/>
        </w:rPr>
        <w:t>Set a timeline and sequence of steps toward achieving the objectives to illustrate the value of the process</w:t>
      </w:r>
      <w:r>
        <w:rPr>
          <w:szCs w:val="22"/>
        </w:rPr>
        <w:t>.</w:t>
      </w:r>
    </w:p>
    <w:p w:rsidR="00AC7A0C" w:rsidRPr="00423A90" w:rsidRDefault="00AC7A0C" w:rsidP="00DF1FE9">
      <w:pPr>
        <w:pStyle w:val="ListParagraph"/>
        <w:numPr>
          <w:ilvl w:val="0"/>
          <w:numId w:val="3"/>
        </w:numPr>
        <w:spacing w:before="60" w:after="60"/>
        <w:contextualSpacing w:val="0"/>
        <w:rPr>
          <w:szCs w:val="22"/>
        </w:rPr>
      </w:pPr>
      <w:r w:rsidRPr="00423A90">
        <w:rPr>
          <w:szCs w:val="22"/>
        </w:rPr>
        <w:t>Create motivation for students</w:t>
      </w:r>
      <w:r>
        <w:rPr>
          <w:szCs w:val="22"/>
        </w:rPr>
        <w:t>.</w:t>
      </w:r>
    </w:p>
    <w:p w:rsidR="00AC7A0C" w:rsidRPr="00423A90" w:rsidRDefault="00AC7A0C" w:rsidP="00DF1FE9">
      <w:pPr>
        <w:pStyle w:val="ListParagraph"/>
        <w:numPr>
          <w:ilvl w:val="0"/>
          <w:numId w:val="3"/>
        </w:numPr>
        <w:spacing w:before="60" w:after="60"/>
        <w:contextualSpacing w:val="0"/>
      </w:pPr>
      <w:r w:rsidRPr="00423A90">
        <w:rPr>
          <w:szCs w:val="22"/>
        </w:rPr>
        <w:t xml:space="preserve">Suggest the various roles for each member of a group (i.e. recorder, </w:t>
      </w:r>
      <w:r w:rsidRPr="00423A90">
        <w:t>summarizer, devil’s advocate, technology wizard, resource finder, etc.)</w:t>
      </w:r>
      <w:r>
        <w:t>.</w:t>
      </w:r>
    </w:p>
    <w:p w:rsidR="00AC7A0C" w:rsidRPr="00423A90" w:rsidRDefault="00AC7A0C" w:rsidP="00AC7A0C">
      <w:pPr>
        <w:rPr>
          <w:szCs w:val="22"/>
        </w:rPr>
      </w:pPr>
      <w:r w:rsidRPr="00423A90">
        <w:rPr>
          <w:szCs w:val="22"/>
        </w:rPr>
        <w:t xml:space="preserve">The use of this list has allowed me to reduce the social loafers and sucker effect by instilling a sense of teamwork. The rubrics illustrate my value of each member’s role in the final product. Thus, interdependence is built into the activity. By constructing the activities using a real world activity, the immediate application is obvious and motivating for the students.  </w:t>
      </w:r>
    </w:p>
    <w:p w:rsidR="00AC7A0C" w:rsidRPr="00423A90" w:rsidRDefault="00AC7A0C" w:rsidP="00AC7A0C">
      <w:pPr>
        <w:rPr>
          <w:szCs w:val="22"/>
        </w:rPr>
      </w:pPr>
      <w:r w:rsidRPr="00423A90">
        <w:rPr>
          <w:szCs w:val="22"/>
        </w:rPr>
        <w:t xml:space="preserve">The scenario described at the beginning of this paper illustrates a master teacher’s planning of a problem for her class.  She allowed the class to form groups and then assigned roles for each member of the group (step #1 and #7).  An ill-structured problem was given to the students along with a clear objective that suggested a format for the groups’ product (steps #3 and #4).  A worksheet was given to help the group collect information needed in order to complete the task successfully (step #2).  The timeline given to the students was to create the product during the class session (step #5).  As the students worked together, she was able to monitor activity and provide the motivation by praising exemplary work while also redirecting other groups who meandered off task (step #6).  </w:t>
      </w:r>
    </w:p>
    <w:p w:rsidR="00C20B20" w:rsidRPr="00C20B20" w:rsidRDefault="00AC7A0C" w:rsidP="00C20B20">
      <w:pPr>
        <w:rPr>
          <w:szCs w:val="22"/>
        </w:rPr>
      </w:pPr>
      <w:r w:rsidRPr="00423A90">
        <w:rPr>
          <w:szCs w:val="22"/>
        </w:rPr>
        <w:t>With the use of this checklist, a course instructor properly plans the activities and the likelihood of adequate scaffolding placed throughout the course. When students need help in the online course - and the faculty member is not available - who is going to help the student? A well-developed course contains scaffolding to assist the students with tasks. Use of this checklist, in addition to scaffolding, will enable students to succeed in accomplishing the stated learning objectives and course goals while also honing cooperative skills necessary in the workplace.</w:t>
      </w:r>
    </w:p>
    <w:p w:rsidR="00AC7A0C" w:rsidRPr="00423A90" w:rsidRDefault="00AC7A0C" w:rsidP="00AC7A0C">
      <w:pPr>
        <w:pStyle w:val="Heading3"/>
      </w:pPr>
      <w:r w:rsidRPr="00423A90">
        <w:t>References</w:t>
      </w:r>
    </w:p>
    <w:p w:rsidR="00AC7A0C" w:rsidRPr="00423A90" w:rsidRDefault="00AC7A0C" w:rsidP="00AC7A0C">
      <w:pPr>
        <w:ind w:left="720" w:hanging="720"/>
        <w:rPr>
          <w:noProof/>
          <w:szCs w:val="22"/>
        </w:rPr>
      </w:pPr>
      <w:r w:rsidRPr="00423A90">
        <w:rPr>
          <w:noProof/>
          <w:szCs w:val="22"/>
        </w:rPr>
        <w:t xml:space="preserve">Arends, R. (1988). </w:t>
      </w:r>
      <w:r w:rsidRPr="00423A90">
        <w:rPr>
          <w:i/>
          <w:iCs/>
          <w:noProof/>
          <w:szCs w:val="22"/>
        </w:rPr>
        <w:t>Learning to teach.</w:t>
      </w:r>
      <w:r w:rsidRPr="00423A90">
        <w:rPr>
          <w:noProof/>
          <w:szCs w:val="22"/>
        </w:rPr>
        <w:t xml:space="preserve"> New York: Random House.</w:t>
      </w:r>
    </w:p>
    <w:p w:rsidR="00AC7A0C" w:rsidRPr="00423A90" w:rsidRDefault="00AC7A0C" w:rsidP="00AC7A0C">
      <w:pPr>
        <w:ind w:left="720" w:hanging="720"/>
        <w:rPr>
          <w:noProof/>
          <w:szCs w:val="22"/>
        </w:rPr>
      </w:pPr>
      <w:r w:rsidRPr="00423A90">
        <w:rPr>
          <w:noProof/>
          <w:szCs w:val="22"/>
        </w:rPr>
        <w:t xml:space="preserve">Aronson, E. (1978). </w:t>
      </w:r>
      <w:r w:rsidRPr="00423A90">
        <w:rPr>
          <w:i/>
          <w:iCs/>
          <w:noProof/>
          <w:szCs w:val="22"/>
        </w:rPr>
        <w:t>The jigsaw classroom.</w:t>
      </w:r>
      <w:r w:rsidRPr="00423A90">
        <w:rPr>
          <w:noProof/>
          <w:szCs w:val="22"/>
        </w:rPr>
        <w:t xml:space="preserve"> Beverly Hills, CA: Sage Publications.</w:t>
      </w:r>
    </w:p>
    <w:p w:rsidR="00AC7A0C" w:rsidRPr="00423A90" w:rsidRDefault="00AC7A0C" w:rsidP="00AC7A0C">
      <w:pPr>
        <w:ind w:left="720" w:hanging="720"/>
        <w:rPr>
          <w:noProof/>
          <w:szCs w:val="22"/>
        </w:rPr>
      </w:pPr>
      <w:r w:rsidRPr="00423A90">
        <w:rPr>
          <w:noProof/>
          <w:szCs w:val="22"/>
        </w:rPr>
        <w:t xml:space="preserve">Bart, M. (2010, September 10). How to design effective online group work activites. </w:t>
      </w:r>
      <w:r w:rsidRPr="00423A90">
        <w:rPr>
          <w:i/>
          <w:iCs/>
          <w:noProof/>
          <w:szCs w:val="22"/>
        </w:rPr>
        <w:t>Faculty Focus email</w:t>
      </w:r>
      <w:r w:rsidRPr="00423A90">
        <w:rPr>
          <w:noProof/>
          <w:szCs w:val="22"/>
        </w:rPr>
        <w:t xml:space="preserve"> .</w:t>
      </w:r>
    </w:p>
    <w:p w:rsidR="00AC7A0C" w:rsidRPr="00423A90" w:rsidRDefault="00AC7A0C" w:rsidP="00AC7A0C">
      <w:pPr>
        <w:ind w:left="720" w:hanging="720"/>
        <w:rPr>
          <w:noProof/>
          <w:szCs w:val="22"/>
        </w:rPr>
      </w:pPr>
      <w:r w:rsidRPr="00423A90">
        <w:rPr>
          <w:noProof/>
          <w:szCs w:val="22"/>
        </w:rPr>
        <w:t xml:space="preserve">Bloom, B. (1956). </w:t>
      </w:r>
      <w:r w:rsidRPr="00423A90">
        <w:rPr>
          <w:i/>
          <w:iCs/>
          <w:noProof/>
          <w:szCs w:val="22"/>
        </w:rPr>
        <w:t>Taxonomy of educational objectives han</w:t>
      </w:r>
      <w:r w:rsidR="00150381">
        <w:rPr>
          <w:i/>
          <w:iCs/>
          <w:noProof/>
          <w:szCs w:val="22"/>
        </w:rPr>
        <w:t>d</w:t>
      </w:r>
      <w:r w:rsidRPr="00423A90">
        <w:rPr>
          <w:i/>
          <w:iCs/>
          <w:noProof/>
          <w:szCs w:val="22"/>
        </w:rPr>
        <w:t>book 1: Cognitive domain.</w:t>
      </w:r>
      <w:r w:rsidRPr="00423A90">
        <w:rPr>
          <w:noProof/>
          <w:szCs w:val="22"/>
        </w:rPr>
        <w:t xml:space="preserve"> Longman.</w:t>
      </w:r>
    </w:p>
    <w:p w:rsidR="00AC7A0C" w:rsidRPr="00423A90" w:rsidRDefault="00AC7A0C" w:rsidP="00AC7A0C">
      <w:pPr>
        <w:ind w:left="720" w:hanging="720"/>
        <w:rPr>
          <w:noProof/>
          <w:szCs w:val="22"/>
        </w:rPr>
      </w:pPr>
      <w:r w:rsidRPr="00423A90">
        <w:rPr>
          <w:noProof/>
          <w:szCs w:val="22"/>
        </w:rPr>
        <w:t xml:space="preserve">Casner-Lotto, J., &amp; Barrington, L. (2006). </w:t>
      </w:r>
      <w:r w:rsidRPr="00423A90">
        <w:rPr>
          <w:i/>
          <w:iCs/>
          <w:noProof/>
          <w:szCs w:val="22"/>
        </w:rPr>
        <w:t>Are the really ready to work? Employers’ Perspectives on the basic knowledge and applied skills of new entrants to the 21st century U.S. workforce.</w:t>
      </w:r>
      <w:r w:rsidRPr="00423A90">
        <w:rPr>
          <w:noProof/>
          <w:szCs w:val="22"/>
        </w:rPr>
        <w:t xml:space="preserve"> The Conference Board, Inc.; Partnership for 21st Century Skills, Corporate Voices for Working Families, and the Society for Human Resource Management.</w:t>
      </w:r>
    </w:p>
    <w:p w:rsidR="00AC7A0C" w:rsidRPr="00423A90" w:rsidRDefault="00AC7A0C" w:rsidP="00AC7A0C">
      <w:pPr>
        <w:ind w:left="720" w:hanging="720"/>
        <w:rPr>
          <w:noProof/>
          <w:szCs w:val="22"/>
        </w:rPr>
      </w:pPr>
      <w:r w:rsidRPr="00423A90">
        <w:rPr>
          <w:noProof/>
          <w:szCs w:val="22"/>
        </w:rPr>
        <w:t xml:space="preserve">Ciani, K. D., Summers, J. J., Easter, M. A., &amp; Sheldon, K. M. (2008). Collaborative learning and positive experiences: Does letting students choose their own groups matter? </w:t>
      </w:r>
      <w:r w:rsidRPr="00423A90">
        <w:rPr>
          <w:i/>
          <w:iCs/>
          <w:noProof/>
          <w:szCs w:val="22"/>
        </w:rPr>
        <w:t>Educational Psychology</w:t>
      </w:r>
      <w:r w:rsidRPr="00423A90">
        <w:rPr>
          <w:noProof/>
          <w:szCs w:val="22"/>
        </w:rPr>
        <w:t xml:space="preserve"> </w:t>
      </w:r>
      <w:r w:rsidRPr="00423A90">
        <w:rPr>
          <w:i/>
          <w:iCs/>
          <w:noProof/>
          <w:szCs w:val="22"/>
        </w:rPr>
        <w:t>, 28</w:t>
      </w:r>
      <w:r w:rsidRPr="00423A90">
        <w:rPr>
          <w:noProof/>
          <w:szCs w:val="22"/>
        </w:rPr>
        <w:t xml:space="preserve"> (6), 627-641.</w:t>
      </w:r>
    </w:p>
    <w:p w:rsidR="00AC7A0C" w:rsidRPr="00423A90" w:rsidRDefault="00AC7A0C" w:rsidP="00AC7A0C">
      <w:pPr>
        <w:ind w:left="720" w:hanging="720"/>
        <w:rPr>
          <w:noProof/>
          <w:szCs w:val="22"/>
        </w:rPr>
      </w:pPr>
      <w:r w:rsidRPr="00423A90">
        <w:rPr>
          <w:noProof/>
          <w:szCs w:val="22"/>
        </w:rPr>
        <w:t xml:space="preserve">Doran, C. L. (2001). The effective use of learning groups in online education. </w:t>
      </w:r>
      <w:r w:rsidRPr="00423A90">
        <w:rPr>
          <w:i/>
          <w:iCs/>
          <w:noProof/>
          <w:szCs w:val="22"/>
        </w:rPr>
        <w:t>New Horizons in Adult Education</w:t>
      </w:r>
      <w:r w:rsidRPr="00423A90">
        <w:rPr>
          <w:noProof/>
          <w:szCs w:val="22"/>
        </w:rPr>
        <w:t xml:space="preserve"> </w:t>
      </w:r>
      <w:r w:rsidRPr="00423A90">
        <w:rPr>
          <w:i/>
          <w:iCs/>
          <w:noProof/>
          <w:szCs w:val="22"/>
        </w:rPr>
        <w:t>, 15</w:t>
      </w:r>
      <w:r w:rsidRPr="00423A90">
        <w:rPr>
          <w:noProof/>
          <w:szCs w:val="22"/>
        </w:rPr>
        <w:t xml:space="preserve"> (2), 20-28.</w:t>
      </w:r>
    </w:p>
    <w:p w:rsidR="00AC7A0C" w:rsidRPr="00423A90" w:rsidRDefault="00AC7A0C" w:rsidP="00AC7A0C">
      <w:pPr>
        <w:ind w:left="720" w:hanging="720"/>
        <w:rPr>
          <w:noProof/>
          <w:szCs w:val="22"/>
        </w:rPr>
      </w:pPr>
      <w:r w:rsidRPr="00423A90">
        <w:rPr>
          <w:noProof/>
          <w:szCs w:val="22"/>
        </w:rPr>
        <w:t xml:space="preserve">Ferguson, D. (2001). Technology in a constructivist classroom. </w:t>
      </w:r>
      <w:r w:rsidRPr="00423A90">
        <w:rPr>
          <w:i/>
          <w:iCs/>
          <w:noProof/>
          <w:szCs w:val="22"/>
        </w:rPr>
        <w:t>Information Technology in Childhood Education Annual</w:t>
      </w:r>
      <w:r w:rsidRPr="00423A90">
        <w:rPr>
          <w:noProof/>
          <w:szCs w:val="22"/>
        </w:rPr>
        <w:t xml:space="preserve"> , 45-55.</w:t>
      </w:r>
    </w:p>
    <w:p w:rsidR="00AC7A0C" w:rsidRPr="00423A90" w:rsidRDefault="00AC7A0C" w:rsidP="00AC7A0C">
      <w:pPr>
        <w:ind w:left="720" w:hanging="720"/>
        <w:rPr>
          <w:noProof/>
          <w:szCs w:val="22"/>
        </w:rPr>
      </w:pPr>
      <w:r w:rsidRPr="00423A90">
        <w:rPr>
          <w:noProof/>
          <w:szCs w:val="22"/>
        </w:rPr>
        <w:t xml:space="preserve">Gillies, R. M. (2003). Structuring cooperative group work in classrooms. </w:t>
      </w:r>
      <w:r w:rsidRPr="00423A90">
        <w:rPr>
          <w:i/>
          <w:iCs/>
          <w:noProof/>
          <w:szCs w:val="22"/>
        </w:rPr>
        <w:t>International Journal of Educational Research</w:t>
      </w:r>
      <w:r w:rsidRPr="00423A90">
        <w:rPr>
          <w:noProof/>
          <w:szCs w:val="22"/>
        </w:rPr>
        <w:t xml:space="preserve"> </w:t>
      </w:r>
      <w:r w:rsidRPr="00423A90">
        <w:rPr>
          <w:i/>
          <w:iCs/>
          <w:noProof/>
          <w:szCs w:val="22"/>
        </w:rPr>
        <w:t>, 39</w:t>
      </w:r>
      <w:r w:rsidRPr="00423A90">
        <w:rPr>
          <w:noProof/>
          <w:szCs w:val="22"/>
        </w:rPr>
        <w:t>, 35-39.</w:t>
      </w:r>
    </w:p>
    <w:p w:rsidR="00AC7A0C" w:rsidRPr="00423A90" w:rsidRDefault="00AC7A0C" w:rsidP="00AC7A0C">
      <w:pPr>
        <w:ind w:left="720" w:hanging="720"/>
        <w:rPr>
          <w:noProof/>
          <w:szCs w:val="22"/>
        </w:rPr>
      </w:pPr>
      <w:r w:rsidRPr="00423A90">
        <w:rPr>
          <w:noProof/>
          <w:szCs w:val="22"/>
        </w:rPr>
        <w:t xml:space="preserve">Hamlyn-Harris, J. H., Hurst, B. J., von Baggo, K., &amp; Bayley, A. J. (2006). Predictors of team work satisfaction. </w:t>
      </w:r>
      <w:r w:rsidRPr="00423A90">
        <w:rPr>
          <w:i/>
          <w:iCs/>
          <w:noProof/>
          <w:szCs w:val="22"/>
        </w:rPr>
        <w:t>Journal of Information Technology Education</w:t>
      </w:r>
      <w:r w:rsidRPr="00423A90">
        <w:rPr>
          <w:noProof/>
          <w:szCs w:val="22"/>
        </w:rPr>
        <w:t xml:space="preserve"> </w:t>
      </w:r>
      <w:r w:rsidRPr="00423A90">
        <w:rPr>
          <w:i/>
          <w:iCs/>
          <w:noProof/>
          <w:szCs w:val="22"/>
        </w:rPr>
        <w:t>, 5</w:t>
      </w:r>
      <w:r w:rsidRPr="00423A90">
        <w:rPr>
          <w:noProof/>
          <w:szCs w:val="22"/>
        </w:rPr>
        <w:t>, 299-315.</w:t>
      </w:r>
    </w:p>
    <w:p w:rsidR="00AC7A0C" w:rsidRPr="00423A90" w:rsidRDefault="00AC7A0C" w:rsidP="00AC7A0C">
      <w:pPr>
        <w:ind w:left="720" w:hanging="720"/>
        <w:rPr>
          <w:noProof/>
          <w:szCs w:val="22"/>
        </w:rPr>
      </w:pPr>
      <w:r w:rsidRPr="00423A90">
        <w:rPr>
          <w:noProof/>
          <w:szCs w:val="22"/>
        </w:rPr>
        <w:t xml:space="preserve">Hentig, H. v. (2004). </w:t>
      </w:r>
      <w:r w:rsidRPr="00423A90">
        <w:rPr>
          <w:i/>
          <w:iCs/>
          <w:noProof/>
          <w:szCs w:val="22"/>
        </w:rPr>
        <w:t>Introduction to the curriculum 2004</w:t>
      </w:r>
      <w:r w:rsidRPr="00423A90">
        <w:rPr>
          <w:noProof/>
          <w:szCs w:val="22"/>
        </w:rPr>
        <w:t xml:space="preserve">. Retrieved September 8, 2005, from </w:t>
      </w:r>
      <w:r w:rsidRPr="00515AB6">
        <w:rPr>
          <w:noProof/>
          <w:sz w:val="20"/>
        </w:rPr>
        <w:t>http://www.bildung-staerkt-menschen.de/service/downloads/Sonstiges/Einfuehrung_BP.pdf</w:t>
      </w:r>
    </w:p>
    <w:p w:rsidR="00AC7A0C" w:rsidRPr="00423A90" w:rsidRDefault="00AC7A0C" w:rsidP="00AC7A0C">
      <w:pPr>
        <w:ind w:left="720" w:hanging="720"/>
        <w:rPr>
          <w:noProof/>
          <w:szCs w:val="22"/>
        </w:rPr>
      </w:pPr>
      <w:r w:rsidRPr="00423A90">
        <w:rPr>
          <w:noProof/>
          <w:szCs w:val="22"/>
        </w:rPr>
        <w:t xml:space="preserve">Honeyfield, J. (1991). The formation of small groups in the language classroom. </w:t>
      </w:r>
      <w:r w:rsidRPr="00423A90">
        <w:rPr>
          <w:i/>
          <w:iCs/>
          <w:noProof/>
          <w:szCs w:val="22"/>
        </w:rPr>
        <w:t>Guidelines</w:t>
      </w:r>
      <w:r w:rsidRPr="00423A90">
        <w:rPr>
          <w:noProof/>
          <w:szCs w:val="22"/>
        </w:rPr>
        <w:t xml:space="preserve"> </w:t>
      </w:r>
      <w:r w:rsidRPr="00423A90">
        <w:rPr>
          <w:i/>
          <w:iCs/>
          <w:noProof/>
          <w:szCs w:val="22"/>
        </w:rPr>
        <w:t>, 13</w:t>
      </w:r>
      <w:r w:rsidRPr="00423A90">
        <w:rPr>
          <w:noProof/>
          <w:szCs w:val="22"/>
        </w:rPr>
        <w:t xml:space="preserve"> (1), 11-18.</w:t>
      </w:r>
    </w:p>
    <w:p w:rsidR="00AC7A0C" w:rsidRPr="00423A90" w:rsidRDefault="00AC7A0C" w:rsidP="00AC7A0C">
      <w:pPr>
        <w:ind w:left="720" w:hanging="720"/>
        <w:rPr>
          <w:noProof/>
          <w:szCs w:val="22"/>
        </w:rPr>
      </w:pPr>
      <w:r w:rsidRPr="00423A90">
        <w:rPr>
          <w:noProof/>
          <w:szCs w:val="22"/>
        </w:rPr>
        <w:t xml:space="preserve">Huber, G. L., &amp; Huber, A. A. (2008). Structuring group interaction to promote thinking and learning during small group learning in high school settings. In R. M. Gillies, A. F. Ashman, &amp; J. Terwel, </w:t>
      </w:r>
      <w:r w:rsidRPr="00423A90">
        <w:rPr>
          <w:i/>
          <w:iCs/>
          <w:noProof/>
          <w:szCs w:val="22"/>
        </w:rPr>
        <w:t>The Teacher's Role in Implementing Cooperative Learning in the Classroom.</w:t>
      </w:r>
      <w:r w:rsidRPr="00423A90">
        <w:rPr>
          <w:noProof/>
          <w:szCs w:val="22"/>
        </w:rPr>
        <w:t xml:space="preserve"> New York: Springer.</w:t>
      </w:r>
    </w:p>
    <w:p w:rsidR="00AC7A0C" w:rsidRPr="00423A90" w:rsidRDefault="00AC7A0C" w:rsidP="00AC7A0C">
      <w:pPr>
        <w:ind w:left="720" w:hanging="720"/>
        <w:rPr>
          <w:noProof/>
          <w:szCs w:val="22"/>
        </w:rPr>
      </w:pPr>
      <w:r w:rsidRPr="00423A90">
        <w:rPr>
          <w:noProof/>
          <w:szCs w:val="22"/>
        </w:rPr>
        <w:t xml:space="preserve">Johnson, D. W., &amp; Johnson, R. T. (1990). Cooperative learning and achievement. In S. Sharan (Ed.), </w:t>
      </w:r>
      <w:r w:rsidRPr="00423A90">
        <w:rPr>
          <w:i/>
          <w:iCs/>
          <w:noProof/>
          <w:szCs w:val="22"/>
        </w:rPr>
        <w:t>Cooperative learning: Theory and research</w:t>
      </w:r>
      <w:r w:rsidRPr="00423A90">
        <w:rPr>
          <w:noProof/>
          <w:szCs w:val="22"/>
        </w:rPr>
        <w:t xml:space="preserve"> (pp. 173-202). New York: Praeger.</w:t>
      </w:r>
    </w:p>
    <w:p w:rsidR="00AC7A0C" w:rsidRPr="00423A90" w:rsidRDefault="00AC7A0C" w:rsidP="00AC7A0C">
      <w:pPr>
        <w:ind w:left="720" w:hanging="720"/>
        <w:rPr>
          <w:noProof/>
          <w:szCs w:val="22"/>
        </w:rPr>
      </w:pPr>
      <w:r w:rsidRPr="00423A90">
        <w:rPr>
          <w:noProof/>
          <w:szCs w:val="22"/>
        </w:rPr>
        <w:t xml:space="preserve">Jonassen, D. H. (1993). Designing constructivist learning environments. In T. M. Duffy, J. Lowyck, &amp; D. H. Jonassen (Eds.), </w:t>
      </w:r>
      <w:r w:rsidRPr="00423A90">
        <w:rPr>
          <w:i/>
          <w:iCs/>
          <w:noProof/>
          <w:szCs w:val="22"/>
        </w:rPr>
        <w:t>The Design of Constructivistic Learning Environments: Implications for Instructional Design and the Use of Technology.</w:t>
      </w:r>
      <w:r w:rsidRPr="00423A90">
        <w:rPr>
          <w:noProof/>
          <w:szCs w:val="22"/>
        </w:rPr>
        <w:t xml:space="preserve"> Heidelburg, FRG: Springer-Verlag.</w:t>
      </w:r>
    </w:p>
    <w:p w:rsidR="00AC7A0C" w:rsidRPr="00423A90" w:rsidRDefault="00AC7A0C" w:rsidP="00AC7A0C">
      <w:pPr>
        <w:ind w:left="720" w:hanging="720"/>
        <w:rPr>
          <w:noProof/>
          <w:szCs w:val="22"/>
        </w:rPr>
      </w:pPr>
      <w:r w:rsidRPr="00423A90">
        <w:rPr>
          <w:noProof/>
          <w:szCs w:val="22"/>
        </w:rPr>
        <w:t xml:space="preserve">Lyman, F. (1981). The responsive classroom discussion: The inclusion of all students. (A. S. Anderson, Ed.) </w:t>
      </w:r>
      <w:r w:rsidRPr="00423A90">
        <w:rPr>
          <w:i/>
          <w:iCs/>
          <w:noProof/>
          <w:szCs w:val="22"/>
        </w:rPr>
        <w:t>Mainstreaming Digest: A Collection of Faculty and Student Papers</w:t>
      </w:r>
      <w:r w:rsidRPr="00423A90">
        <w:rPr>
          <w:noProof/>
          <w:szCs w:val="22"/>
        </w:rPr>
        <w:t xml:space="preserve"> , 109-113.</w:t>
      </w:r>
    </w:p>
    <w:p w:rsidR="00AC7A0C" w:rsidRPr="00423A90" w:rsidRDefault="00AC7A0C" w:rsidP="00AC7A0C">
      <w:pPr>
        <w:ind w:left="720" w:hanging="720"/>
        <w:rPr>
          <w:noProof/>
          <w:szCs w:val="22"/>
        </w:rPr>
      </w:pPr>
      <w:r w:rsidRPr="00423A90">
        <w:rPr>
          <w:noProof/>
          <w:szCs w:val="22"/>
        </w:rPr>
        <w:t xml:space="preserve">Mandernach, J. (2010, August 12). Online group work: Making it meaningful and manageable. </w:t>
      </w:r>
      <w:r w:rsidRPr="00423A90">
        <w:rPr>
          <w:i/>
          <w:iCs/>
          <w:noProof/>
          <w:szCs w:val="22"/>
        </w:rPr>
        <w:t>Magna Online Seminars</w:t>
      </w:r>
      <w:r w:rsidRPr="00423A90">
        <w:rPr>
          <w:noProof/>
          <w:szCs w:val="22"/>
        </w:rPr>
        <w:t xml:space="preserve"> .</w:t>
      </w:r>
    </w:p>
    <w:p w:rsidR="00AC7A0C" w:rsidRPr="00423A90" w:rsidRDefault="00AC7A0C" w:rsidP="00AC7A0C">
      <w:pPr>
        <w:ind w:left="720" w:hanging="720"/>
        <w:rPr>
          <w:noProof/>
          <w:szCs w:val="22"/>
        </w:rPr>
      </w:pPr>
      <w:r w:rsidRPr="00423A90">
        <w:rPr>
          <w:noProof/>
          <w:szCs w:val="22"/>
        </w:rPr>
        <w:t xml:space="preserve">Slavin, R. E. (1995). </w:t>
      </w:r>
      <w:r w:rsidRPr="00423A90">
        <w:rPr>
          <w:i/>
          <w:iCs/>
          <w:noProof/>
          <w:szCs w:val="22"/>
        </w:rPr>
        <w:t>Cooperative learning and intergroup relations</w:t>
      </w:r>
      <w:r w:rsidRPr="00423A90">
        <w:rPr>
          <w:noProof/>
          <w:szCs w:val="22"/>
        </w:rPr>
        <w:t xml:space="preserve"> (2nd ed.). Boston: Allyn and Bacon.</w:t>
      </w:r>
    </w:p>
    <w:p w:rsidR="00AC7A0C" w:rsidRPr="00F1038C" w:rsidRDefault="00AC7A0C" w:rsidP="00AC7A0C">
      <w:pPr>
        <w:pStyle w:val="Heading3"/>
      </w:pPr>
      <w:r w:rsidRPr="00F1038C">
        <w:t xml:space="preserve">About the </w:t>
      </w:r>
      <w:r w:rsidR="0070613B">
        <w:t>A</w:t>
      </w:r>
      <w:r w:rsidRPr="00F1038C">
        <w:t>uthor</w:t>
      </w:r>
    </w:p>
    <w:p w:rsidR="00AC7A0C" w:rsidRPr="00F1038C" w:rsidRDefault="00AC7A0C" w:rsidP="00AC7A0C">
      <w:pPr>
        <w:rPr>
          <w:szCs w:val="22"/>
        </w:rPr>
      </w:pPr>
      <w:r w:rsidRPr="00423A90">
        <w:rPr>
          <w:rFonts w:ascii="Arial" w:hAnsi="Arial" w:cs="Arial"/>
          <w:b/>
          <w:sz w:val="24"/>
          <w:szCs w:val="24"/>
        </w:rPr>
        <w:t xml:space="preserve">Dan </w:t>
      </w:r>
      <w:proofErr w:type="spellStart"/>
      <w:r w:rsidRPr="00423A90">
        <w:rPr>
          <w:rFonts w:ascii="Arial" w:hAnsi="Arial" w:cs="Arial"/>
          <w:b/>
          <w:sz w:val="24"/>
          <w:szCs w:val="24"/>
        </w:rPr>
        <w:t>Keast</w:t>
      </w:r>
      <w:proofErr w:type="spellEnd"/>
      <w:r>
        <w:rPr>
          <w:szCs w:val="22"/>
        </w:rPr>
        <w:t>, Ph.D.</w:t>
      </w:r>
      <w:r w:rsidRPr="00F1038C">
        <w:rPr>
          <w:szCs w:val="22"/>
        </w:rPr>
        <w:t xml:space="preserve"> is Associate Professor of Music and Chair of the Music Department at the University of Texas of the Permian Basin.  </w:t>
      </w:r>
      <w:proofErr w:type="spellStart"/>
      <w:r w:rsidRPr="00F1038C">
        <w:rPr>
          <w:szCs w:val="22"/>
        </w:rPr>
        <w:t>Keast’s</w:t>
      </w:r>
      <w:proofErr w:type="spellEnd"/>
      <w:r w:rsidRPr="00F1038C">
        <w:rPr>
          <w:szCs w:val="22"/>
        </w:rPr>
        <w:t xml:space="preserve"> research interests include online social constructivist teaching pedagogy and the development of scaffolding tools.  Publications include Research and Issues in Music Education, Music Educators’ Journal, Missouri Journal of Research in Music Education, Journal of Technology and Music Learning, and American Communication Journal. </w:t>
      </w:r>
    </w:p>
    <w:p w:rsidR="00AC7A0C" w:rsidRPr="00423A90" w:rsidRDefault="00AC7A0C" w:rsidP="00AC7A0C">
      <w:pPr>
        <w:rPr>
          <w:szCs w:val="22"/>
        </w:rPr>
      </w:pPr>
      <w:proofErr w:type="gramStart"/>
      <w:r>
        <w:rPr>
          <w:szCs w:val="22"/>
        </w:rPr>
        <w:t>e-Mail</w:t>
      </w:r>
      <w:proofErr w:type="gramEnd"/>
      <w:r>
        <w:rPr>
          <w:szCs w:val="22"/>
        </w:rPr>
        <w:t xml:space="preserve">: </w:t>
      </w:r>
      <w:hyperlink r:id="rId45" w:history="1">
        <w:r>
          <w:rPr>
            <w:rStyle w:val="Hyperlink"/>
            <w:rFonts w:cs="Arial"/>
            <w:sz w:val="20"/>
          </w:rPr>
          <w:t>keast_d@utpb.edu</w:t>
        </w:r>
      </w:hyperlink>
    </w:p>
    <w:p w:rsidR="00AC7A0C" w:rsidRDefault="00AC7A0C">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E74431">
      <w:pPr>
        <w:spacing w:before="0" w:after="0"/>
      </w:pPr>
    </w:p>
    <w:p w:rsidR="00E74431" w:rsidRDefault="005E5BDD">
      <w:pPr>
        <w:spacing w:before="0" w:after="0"/>
      </w:pPr>
      <w:hyperlink w:anchor="TOC" w:history="1">
        <w:r w:rsidR="00E74431" w:rsidRPr="00E74431">
          <w:rPr>
            <w:rStyle w:val="Hyperlink"/>
            <w:sz w:val="16"/>
            <w:szCs w:val="16"/>
          </w:rPr>
          <w:t>Return to Table of Contents</w:t>
        </w:r>
      </w:hyperlink>
    </w:p>
    <w:sectPr w:rsidR="00E74431" w:rsidSect="00E965A4">
      <w:headerReference w:type="even" r:id="rId46"/>
      <w:headerReference w:type="default" r:id="rId47"/>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BDD" w:rsidRDefault="005E5BDD" w:rsidP="00CD285E">
      <w:pPr>
        <w:spacing w:after="0"/>
      </w:pPr>
      <w:r>
        <w:separator/>
      </w:r>
    </w:p>
  </w:endnote>
  <w:endnote w:type="continuationSeparator" w:id="0">
    <w:p w:rsidR="005E5BDD" w:rsidRDefault="005E5BDD"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Italic">
    <w:altName w:val="Times New Roman"/>
    <w:panose1 w:val="00000000000000000000"/>
    <w:charset w:val="00"/>
    <w:family w:val="roman"/>
    <w:notTrueType/>
    <w:pitch w:val="default"/>
  </w:font>
  <w:font w:name="AvantGardeITCbyBT-Book,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5F" w:rsidRDefault="006B405F" w:rsidP="00DB6BE5">
    <w:pPr>
      <w:framePr w:wrap="around" w:vAnchor="text" w:hAnchor="margin" w:xAlign="center" w:y="1"/>
    </w:pPr>
    <w:r>
      <w:fldChar w:fldCharType="begin"/>
    </w:r>
    <w:r>
      <w:instrText xml:space="preserve">PAGE  </w:instrText>
    </w:r>
    <w:r>
      <w:fldChar w:fldCharType="end"/>
    </w:r>
  </w:p>
  <w:p w:rsidR="006B405F" w:rsidRDefault="006B40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5F" w:rsidRPr="005239EB" w:rsidRDefault="006B405F"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662FA3">
      <w:rPr>
        <w:rStyle w:val="Heading5Char"/>
        <w:noProof/>
        <w:sz w:val="16"/>
        <w:szCs w:val="16"/>
      </w:rPr>
      <w:t>iii</w:t>
    </w:r>
    <w:r w:rsidRPr="005239EB">
      <w:rPr>
        <w:rStyle w:val="Heading5Char"/>
        <w:sz w:val="16"/>
        <w:szCs w:val="16"/>
      </w:rPr>
      <w:fldChar w:fldCharType="end"/>
    </w:r>
  </w:p>
  <w:p w:rsidR="006B405F" w:rsidRPr="008479C9" w:rsidRDefault="006B405F" w:rsidP="00DB6BE5">
    <w:pPr>
      <w:rPr>
        <w:rFonts w:ascii="Arial" w:hAnsi="Arial" w:cs="Arial"/>
        <w:sz w:val="16"/>
        <w:szCs w:val="16"/>
      </w:rPr>
    </w:pPr>
    <w:r>
      <w:rPr>
        <w:rFonts w:ascii="Arial" w:hAnsi="Arial" w:cs="Arial"/>
        <w:sz w:val="16"/>
        <w:szCs w:val="16"/>
      </w:rPr>
      <w:t>March 2012</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ab/>
    </w:r>
    <w:r>
      <w:rPr>
        <w:rFonts w:ascii="Arial" w:hAnsi="Arial" w:cs="Arial"/>
        <w:sz w:val="16"/>
        <w:szCs w:val="16"/>
      </w:rPr>
      <w:t xml:space="preserve">         </w:t>
    </w:r>
    <w:r w:rsidRPr="008479C9">
      <w:rPr>
        <w:rFonts w:ascii="Arial" w:hAnsi="Arial" w:cs="Arial"/>
        <w:sz w:val="16"/>
        <w:szCs w:val="16"/>
      </w:rPr>
      <w:t xml:space="preserve">Vol. </w:t>
    </w:r>
    <w:r>
      <w:rPr>
        <w:rFonts w:ascii="Arial" w:hAnsi="Arial" w:cs="Arial"/>
        <w:sz w:val="16"/>
        <w:szCs w:val="16"/>
      </w:rPr>
      <w:t>9</w:t>
    </w:r>
    <w:r w:rsidRPr="008479C9">
      <w:rPr>
        <w:rFonts w:ascii="Arial" w:hAnsi="Arial" w:cs="Arial"/>
        <w:sz w:val="16"/>
        <w:szCs w:val="16"/>
      </w:rPr>
      <w:t xml:space="preserve">. No. </w:t>
    </w:r>
    <w:r>
      <w:rPr>
        <w:rFonts w:ascii="Arial" w:hAnsi="Arial" w:cs="Arial"/>
        <w:sz w:val="16"/>
        <w:szCs w:val="16"/>
      </w:rPr>
      <w:t>3</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BDD" w:rsidRDefault="005E5BDD" w:rsidP="00CD285E">
      <w:pPr>
        <w:spacing w:after="0"/>
      </w:pPr>
      <w:r>
        <w:separator/>
      </w:r>
    </w:p>
  </w:footnote>
  <w:footnote w:type="continuationSeparator" w:id="0">
    <w:p w:rsidR="005E5BDD" w:rsidRDefault="005E5BDD"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5F" w:rsidRDefault="006B405F">
    <w:pPr>
      <w:framePr w:wrap="around" w:vAnchor="text" w:hAnchor="margin" w:xAlign="right" w:y="1"/>
    </w:pPr>
    <w:r>
      <w:fldChar w:fldCharType="begin"/>
    </w:r>
    <w:r>
      <w:instrText xml:space="preserve">PAGE  </w:instrText>
    </w:r>
    <w:r>
      <w:fldChar w:fldCharType="end"/>
    </w:r>
  </w:p>
  <w:p w:rsidR="006B405F" w:rsidRDefault="006B405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5F" w:rsidRPr="00220D42" w:rsidRDefault="006B405F"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5F" w:rsidRDefault="006B405F"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405F" w:rsidRDefault="006B405F"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5F" w:rsidRPr="00220D42" w:rsidRDefault="006B405F"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68C5"/>
    <w:multiLevelType w:val="hybridMultilevel"/>
    <w:tmpl w:val="1B304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659AD"/>
    <w:multiLevelType w:val="hybridMultilevel"/>
    <w:tmpl w:val="0E6A5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158DA"/>
    <w:multiLevelType w:val="hybridMultilevel"/>
    <w:tmpl w:val="D1D67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46D96"/>
    <w:multiLevelType w:val="hybridMultilevel"/>
    <w:tmpl w:val="CCA2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C13A9"/>
    <w:multiLevelType w:val="hybridMultilevel"/>
    <w:tmpl w:val="7A0CA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229BF"/>
    <w:multiLevelType w:val="hybridMultilevel"/>
    <w:tmpl w:val="FDDEDCD2"/>
    <w:lvl w:ilvl="0" w:tplc="04090017">
      <w:start w:val="1"/>
      <w:numFmt w:val="lowerLetter"/>
      <w:lvlText w:val="%1)"/>
      <w:lvlJc w:val="left"/>
      <w:pPr>
        <w:ind w:left="720" w:hanging="360"/>
      </w:pPr>
    </w:lvl>
    <w:lvl w:ilvl="1" w:tplc="F63AD8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8D2751"/>
    <w:multiLevelType w:val="hybridMultilevel"/>
    <w:tmpl w:val="1DCEE5C8"/>
    <w:lvl w:ilvl="0" w:tplc="04090017">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47130"/>
    <w:multiLevelType w:val="hybridMultilevel"/>
    <w:tmpl w:val="FFE83200"/>
    <w:lvl w:ilvl="0" w:tplc="04090017">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59226D"/>
    <w:multiLevelType w:val="hybridMultilevel"/>
    <w:tmpl w:val="525854EC"/>
    <w:lvl w:ilvl="0" w:tplc="5094D3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60163E"/>
    <w:multiLevelType w:val="hybridMultilevel"/>
    <w:tmpl w:val="ED3CA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66304C"/>
    <w:multiLevelType w:val="hybridMultilevel"/>
    <w:tmpl w:val="A8B26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AB27E7"/>
    <w:multiLevelType w:val="hybridMultilevel"/>
    <w:tmpl w:val="1CDEC1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93526C"/>
    <w:multiLevelType w:val="hybridMultilevel"/>
    <w:tmpl w:val="973C5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F43BD5"/>
    <w:multiLevelType w:val="hybridMultilevel"/>
    <w:tmpl w:val="58122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A5030B"/>
    <w:multiLevelType w:val="hybridMultilevel"/>
    <w:tmpl w:val="F70AE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8A6FA1"/>
    <w:multiLevelType w:val="hybridMultilevel"/>
    <w:tmpl w:val="70F27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5"/>
  </w:num>
  <w:num w:numId="2">
    <w:abstractNumId w:val="17"/>
  </w:num>
  <w:num w:numId="3">
    <w:abstractNumId w:val="13"/>
  </w:num>
  <w:num w:numId="4">
    <w:abstractNumId w:val="2"/>
  </w:num>
  <w:num w:numId="5">
    <w:abstractNumId w:val="1"/>
  </w:num>
  <w:num w:numId="6">
    <w:abstractNumId w:val="5"/>
  </w:num>
  <w:num w:numId="7">
    <w:abstractNumId w:val="6"/>
  </w:num>
  <w:num w:numId="8">
    <w:abstractNumId w:val="16"/>
  </w:num>
  <w:num w:numId="9">
    <w:abstractNumId w:val="7"/>
  </w:num>
  <w:num w:numId="10">
    <w:abstractNumId w:val="4"/>
  </w:num>
  <w:num w:numId="11">
    <w:abstractNumId w:val="0"/>
  </w:num>
  <w:num w:numId="12">
    <w:abstractNumId w:val="12"/>
  </w:num>
  <w:num w:numId="13">
    <w:abstractNumId w:val="3"/>
  </w:num>
  <w:num w:numId="14">
    <w:abstractNumId w:val="10"/>
  </w:num>
  <w:num w:numId="15">
    <w:abstractNumId w:val="8"/>
  </w:num>
  <w:num w:numId="16">
    <w:abstractNumId w:val="11"/>
  </w:num>
  <w:num w:numId="17">
    <w:abstractNumId w:val="14"/>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3A"/>
    <w:rsid w:val="0000189C"/>
    <w:rsid w:val="000019C5"/>
    <w:rsid w:val="00007D91"/>
    <w:rsid w:val="00010838"/>
    <w:rsid w:val="0001502C"/>
    <w:rsid w:val="00016ED6"/>
    <w:rsid w:val="000207F7"/>
    <w:rsid w:val="00020A5F"/>
    <w:rsid w:val="000210E7"/>
    <w:rsid w:val="00022D9F"/>
    <w:rsid w:val="0002603E"/>
    <w:rsid w:val="00030D05"/>
    <w:rsid w:val="0004102A"/>
    <w:rsid w:val="00044B41"/>
    <w:rsid w:val="0004672D"/>
    <w:rsid w:val="0005343E"/>
    <w:rsid w:val="00054965"/>
    <w:rsid w:val="000643AD"/>
    <w:rsid w:val="00070E44"/>
    <w:rsid w:val="00082327"/>
    <w:rsid w:val="00083683"/>
    <w:rsid w:val="00083D79"/>
    <w:rsid w:val="00083F29"/>
    <w:rsid w:val="00091902"/>
    <w:rsid w:val="000926EB"/>
    <w:rsid w:val="00094ECA"/>
    <w:rsid w:val="00096B87"/>
    <w:rsid w:val="000A0A9A"/>
    <w:rsid w:val="000A0F87"/>
    <w:rsid w:val="000A56DE"/>
    <w:rsid w:val="000A6CCA"/>
    <w:rsid w:val="000A7F0B"/>
    <w:rsid w:val="000B161A"/>
    <w:rsid w:val="000C15B9"/>
    <w:rsid w:val="000C20CD"/>
    <w:rsid w:val="000C5256"/>
    <w:rsid w:val="000C5D47"/>
    <w:rsid w:val="000D6B24"/>
    <w:rsid w:val="000E4F75"/>
    <w:rsid w:val="000E7F71"/>
    <w:rsid w:val="000F0834"/>
    <w:rsid w:val="000F4D73"/>
    <w:rsid w:val="00101A3A"/>
    <w:rsid w:val="00114CBC"/>
    <w:rsid w:val="00114D66"/>
    <w:rsid w:val="001150B4"/>
    <w:rsid w:val="0012009C"/>
    <w:rsid w:val="001205DD"/>
    <w:rsid w:val="001233B3"/>
    <w:rsid w:val="001310A0"/>
    <w:rsid w:val="00133F70"/>
    <w:rsid w:val="00135318"/>
    <w:rsid w:val="00135B9A"/>
    <w:rsid w:val="00141C4D"/>
    <w:rsid w:val="00144E8C"/>
    <w:rsid w:val="001462AD"/>
    <w:rsid w:val="00150381"/>
    <w:rsid w:val="00161F4B"/>
    <w:rsid w:val="00177E82"/>
    <w:rsid w:val="00177ECD"/>
    <w:rsid w:val="00182BB3"/>
    <w:rsid w:val="001832C1"/>
    <w:rsid w:val="0018487D"/>
    <w:rsid w:val="00185276"/>
    <w:rsid w:val="00194C7B"/>
    <w:rsid w:val="001A325F"/>
    <w:rsid w:val="001B3B7F"/>
    <w:rsid w:val="001B414C"/>
    <w:rsid w:val="001B4EEA"/>
    <w:rsid w:val="001B694D"/>
    <w:rsid w:val="001C3CE2"/>
    <w:rsid w:val="001C79CE"/>
    <w:rsid w:val="001D2879"/>
    <w:rsid w:val="001D4C00"/>
    <w:rsid w:val="001D5149"/>
    <w:rsid w:val="001E6DF3"/>
    <w:rsid w:val="001F0422"/>
    <w:rsid w:val="001F26C2"/>
    <w:rsid w:val="001F51FE"/>
    <w:rsid w:val="001F7733"/>
    <w:rsid w:val="00202F80"/>
    <w:rsid w:val="00211107"/>
    <w:rsid w:val="00213DFC"/>
    <w:rsid w:val="00220D42"/>
    <w:rsid w:val="00224E32"/>
    <w:rsid w:val="00225890"/>
    <w:rsid w:val="00235315"/>
    <w:rsid w:val="00241B00"/>
    <w:rsid w:val="002677DE"/>
    <w:rsid w:val="00267855"/>
    <w:rsid w:val="0026797F"/>
    <w:rsid w:val="00271E24"/>
    <w:rsid w:val="00274E4A"/>
    <w:rsid w:val="00294A70"/>
    <w:rsid w:val="002A06A6"/>
    <w:rsid w:val="002A6B03"/>
    <w:rsid w:val="002A799D"/>
    <w:rsid w:val="002C1E16"/>
    <w:rsid w:val="002C2ABD"/>
    <w:rsid w:val="002C58CD"/>
    <w:rsid w:val="002D2AE1"/>
    <w:rsid w:val="002D2BD6"/>
    <w:rsid w:val="002D37B9"/>
    <w:rsid w:val="002D55B7"/>
    <w:rsid w:val="002E7F3F"/>
    <w:rsid w:val="002F099E"/>
    <w:rsid w:val="002F0EA7"/>
    <w:rsid w:val="002F4508"/>
    <w:rsid w:val="002F47E8"/>
    <w:rsid w:val="003006D2"/>
    <w:rsid w:val="00302CC1"/>
    <w:rsid w:val="00305D48"/>
    <w:rsid w:val="00310E0A"/>
    <w:rsid w:val="00310E63"/>
    <w:rsid w:val="0031341D"/>
    <w:rsid w:val="00315FBF"/>
    <w:rsid w:val="00320BCA"/>
    <w:rsid w:val="0033077D"/>
    <w:rsid w:val="0033251A"/>
    <w:rsid w:val="0035003A"/>
    <w:rsid w:val="00352E32"/>
    <w:rsid w:val="00354ADE"/>
    <w:rsid w:val="00354F32"/>
    <w:rsid w:val="00360C86"/>
    <w:rsid w:val="00361FC9"/>
    <w:rsid w:val="00362CF1"/>
    <w:rsid w:val="00366D4E"/>
    <w:rsid w:val="00372911"/>
    <w:rsid w:val="00372A15"/>
    <w:rsid w:val="00381CC0"/>
    <w:rsid w:val="003879F6"/>
    <w:rsid w:val="003972C2"/>
    <w:rsid w:val="003A19C3"/>
    <w:rsid w:val="003A79C3"/>
    <w:rsid w:val="003B5427"/>
    <w:rsid w:val="003C34DF"/>
    <w:rsid w:val="003C4A24"/>
    <w:rsid w:val="003C6938"/>
    <w:rsid w:val="003D205A"/>
    <w:rsid w:val="003E095C"/>
    <w:rsid w:val="003E3A55"/>
    <w:rsid w:val="003F1AF0"/>
    <w:rsid w:val="003F20DA"/>
    <w:rsid w:val="00401E59"/>
    <w:rsid w:val="004037AA"/>
    <w:rsid w:val="004077CD"/>
    <w:rsid w:val="004228AC"/>
    <w:rsid w:val="00422E2C"/>
    <w:rsid w:val="00430DB2"/>
    <w:rsid w:val="00434B83"/>
    <w:rsid w:val="00446205"/>
    <w:rsid w:val="00451EE7"/>
    <w:rsid w:val="00452DC9"/>
    <w:rsid w:val="004611C9"/>
    <w:rsid w:val="00461DC2"/>
    <w:rsid w:val="00462340"/>
    <w:rsid w:val="00476052"/>
    <w:rsid w:val="00480156"/>
    <w:rsid w:val="00480C41"/>
    <w:rsid w:val="00486425"/>
    <w:rsid w:val="00491E77"/>
    <w:rsid w:val="004A4D68"/>
    <w:rsid w:val="004B10F3"/>
    <w:rsid w:val="004B112E"/>
    <w:rsid w:val="004B2C44"/>
    <w:rsid w:val="004B3CCD"/>
    <w:rsid w:val="004C46D1"/>
    <w:rsid w:val="004D710B"/>
    <w:rsid w:val="004D7CC9"/>
    <w:rsid w:val="004F02F9"/>
    <w:rsid w:val="004F464B"/>
    <w:rsid w:val="0050511E"/>
    <w:rsid w:val="00505903"/>
    <w:rsid w:val="00507885"/>
    <w:rsid w:val="005130A4"/>
    <w:rsid w:val="00513FDA"/>
    <w:rsid w:val="00515AB6"/>
    <w:rsid w:val="00516A4A"/>
    <w:rsid w:val="00521B00"/>
    <w:rsid w:val="005239EB"/>
    <w:rsid w:val="0053227D"/>
    <w:rsid w:val="005433A1"/>
    <w:rsid w:val="0054620A"/>
    <w:rsid w:val="005869ED"/>
    <w:rsid w:val="00586B6E"/>
    <w:rsid w:val="005879C9"/>
    <w:rsid w:val="00587B36"/>
    <w:rsid w:val="00596575"/>
    <w:rsid w:val="005A3BA7"/>
    <w:rsid w:val="005A4BE8"/>
    <w:rsid w:val="005A55BC"/>
    <w:rsid w:val="005A7EA0"/>
    <w:rsid w:val="005B101E"/>
    <w:rsid w:val="005C03A4"/>
    <w:rsid w:val="005D455F"/>
    <w:rsid w:val="005D6DD3"/>
    <w:rsid w:val="005E03DB"/>
    <w:rsid w:val="005E19D7"/>
    <w:rsid w:val="005E274B"/>
    <w:rsid w:val="005E37E6"/>
    <w:rsid w:val="005E38E7"/>
    <w:rsid w:val="005E40FD"/>
    <w:rsid w:val="005E5BDD"/>
    <w:rsid w:val="005F3783"/>
    <w:rsid w:val="005F3897"/>
    <w:rsid w:val="0060443F"/>
    <w:rsid w:val="00604852"/>
    <w:rsid w:val="00607478"/>
    <w:rsid w:val="00607D47"/>
    <w:rsid w:val="00613D3D"/>
    <w:rsid w:val="00614641"/>
    <w:rsid w:val="006151FF"/>
    <w:rsid w:val="00616FA7"/>
    <w:rsid w:val="00620873"/>
    <w:rsid w:val="006239DC"/>
    <w:rsid w:val="00626AE6"/>
    <w:rsid w:val="00631412"/>
    <w:rsid w:val="00632621"/>
    <w:rsid w:val="00637A86"/>
    <w:rsid w:val="006414B6"/>
    <w:rsid w:val="0065751C"/>
    <w:rsid w:val="00661013"/>
    <w:rsid w:val="00662DA9"/>
    <w:rsid w:val="00662FA3"/>
    <w:rsid w:val="00664907"/>
    <w:rsid w:val="00677D73"/>
    <w:rsid w:val="00685E4D"/>
    <w:rsid w:val="00687D63"/>
    <w:rsid w:val="00694972"/>
    <w:rsid w:val="006954C8"/>
    <w:rsid w:val="006A1E65"/>
    <w:rsid w:val="006A284B"/>
    <w:rsid w:val="006A42D3"/>
    <w:rsid w:val="006B405F"/>
    <w:rsid w:val="006B5641"/>
    <w:rsid w:val="006C08BC"/>
    <w:rsid w:val="006C405E"/>
    <w:rsid w:val="006C50F6"/>
    <w:rsid w:val="006D2192"/>
    <w:rsid w:val="006D49FF"/>
    <w:rsid w:val="006D74A9"/>
    <w:rsid w:val="006E1514"/>
    <w:rsid w:val="006E223E"/>
    <w:rsid w:val="006E2DED"/>
    <w:rsid w:val="006E7C83"/>
    <w:rsid w:val="006F200D"/>
    <w:rsid w:val="006F65B7"/>
    <w:rsid w:val="00705FE4"/>
    <w:rsid w:val="0070613B"/>
    <w:rsid w:val="00714E1D"/>
    <w:rsid w:val="00716242"/>
    <w:rsid w:val="007167BA"/>
    <w:rsid w:val="0072075E"/>
    <w:rsid w:val="00726058"/>
    <w:rsid w:val="00731E5F"/>
    <w:rsid w:val="00736044"/>
    <w:rsid w:val="007361D4"/>
    <w:rsid w:val="00740296"/>
    <w:rsid w:val="00742148"/>
    <w:rsid w:val="00743109"/>
    <w:rsid w:val="007432CB"/>
    <w:rsid w:val="00765EBA"/>
    <w:rsid w:val="00774DB0"/>
    <w:rsid w:val="007813A8"/>
    <w:rsid w:val="00792AE6"/>
    <w:rsid w:val="00793388"/>
    <w:rsid w:val="00796896"/>
    <w:rsid w:val="007A44E1"/>
    <w:rsid w:val="007A7918"/>
    <w:rsid w:val="007B1F60"/>
    <w:rsid w:val="007B76EE"/>
    <w:rsid w:val="007C0462"/>
    <w:rsid w:val="007C44D2"/>
    <w:rsid w:val="007D1DB2"/>
    <w:rsid w:val="007D2F55"/>
    <w:rsid w:val="007D4476"/>
    <w:rsid w:val="007D449B"/>
    <w:rsid w:val="007E28CA"/>
    <w:rsid w:val="008051E3"/>
    <w:rsid w:val="008068F5"/>
    <w:rsid w:val="008107E6"/>
    <w:rsid w:val="00811266"/>
    <w:rsid w:val="00811853"/>
    <w:rsid w:val="008121B0"/>
    <w:rsid w:val="00817A84"/>
    <w:rsid w:val="00821C96"/>
    <w:rsid w:val="00821D5A"/>
    <w:rsid w:val="008235C6"/>
    <w:rsid w:val="008270BB"/>
    <w:rsid w:val="00827C82"/>
    <w:rsid w:val="008302C8"/>
    <w:rsid w:val="008415A2"/>
    <w:rsid w:val="008419FD"/>
    <w:rsid w:val="008443BC"/>
    <w:rsid w:val="008479C9"/>
    <w:rsid w:val="00852D19"/>
    <w:rsid w:val="00856299"/>
    <w:rsid w:val="008739D0"/>
    <w:rsid w:val="00873B75"/>
    <w:rsid w:val="00874B85"/>
    <w:rsid w:val="0087598A"/>
    <w:rsid w:val="008760C9"/>
    <w:rsid w:val="0087737F"/>
    <w:rsid w:val="00883CC1"/>
    <w:rsid w:val="0089241E"/>
    <w:rsid w:val="00893257"/>
    <w:rsid w:val="00895C5C"/>
    <w:rsid w:val="00896549"/>
    <w:rsid w:val="008A33CF"/>
    <w:rsid w:val="008A3603"/>
    <w:rsid w:val="008B2AE6"/>
    <w:rsid w:val="008C71EC"/>
    <w:rsid w:val="008E1B5A"/>
    <w:rsid w:val="008E4E45"/>
    <w:rsid w:val="008F5A97"/>
    <w:rsid w:val="008F6DF6"/>
    <w:rsid w:val="008F6ECB"/>
    <w:rsid w:val="008F6FB1"/>
    <w:rsid w:val="008F706A"/>
    <w:rsid w:val="00904707"/>
    <w:rsid w:val="00907A80"/>
    <w:rsid w:val="00907F51"/>
    <w:rsid w:val="0091229A"/>
    <w:rsid w:val="009142B9"/>
    <w:rsid w:val="00915CF7"/>
    <w:rsid w:val="0092242E"/>
    <w:rsid w:val="00923383"/>
    <w:rsid w:val="00923459"/>
    <w:rsid w:val="009235C3"/>
    <w:rsid w:val="0093489A"/>
    <w:rsid w:val="00935016"/>
    <w:rsid w:val="0094043B"/>
    <w:rsid w:val="00943A34"/>
    <w:rsid w:val="00944C4C"/>
    <w:rsid w:val="009456FB"/>
    <w:rsid w:val="00960A5D"/>
    <w:rsid w:val="00961A1E"/>
    <w:rsid w:val="00962F98"/>
    <w:rsid w:val="00965AE6"/>
    <w:rsid w:val="009714B7"/>
    <w:rsid w:val="00972376"/>
    <w:rsid w:val="0097426B"/>
    <w:rsid w:val="009756BE"/>
    <w:rsid w:val="009942DD"/>
    <w:rsid w:val="009947E0"/>
    <w:rsid w:val="00995EE4"/>
    <w:rsid w:val="009A1DAB"/>
    <w:rsid w:val="009A4689"/>
    <w:rsid w:val="009B1804"/>
    <w:rsid w:val="009B6BBA"/>
    <w:rsid w:val="009C38D2"/>
    <w:rsid w:val="009D2ADB"/>
    <w:rsid w:val="009D7399"/>
    <w:rsid w:val="009F751E"/>
    <w:rsid w:val="00A10AFF"/>
    <w:rsid w:val="00A146C3"/>
    <w:rsid w:val="00A174CA"/>
    <w:rsid w:val="00A20731"/>
    <w:rsid w:val="00A30068"/>
    <w:rsid w:val="00A30F85"/>
    <w:rsid w:val="00A32819"/>
    <w:rsid w:val="00A37FD6"/>
    <w:rsid w:val="00A40BB7"/>
    <w:rsid w:val="00A457ED"/>
    <w:rsid w:val="00A50B2D"/>
    <w:rsid w:val="00A50F4F"/>
    <w:rsid w:val="00A5759B"/>
    <w:rsid w:val="00A60ABE"/>
    <w:rsid w:val="00A65BA5"/>
    <w:rsid w:val="00A65D75"/>
    <w:rsid w:val="00A66818"/>
    <w:rsid w:val="00A81D3C"/>
    <w:rsid w:val="00A81E51"/>
    <w:rsid w:val="00A832FC"/>
    <w:rsid w:val="00A84498"/>
    <w:rsid w:val="00A85A60"/>
    <w:rsid w:val="00A87B4C"/>
    <w:rsid w:val="00AA10F2"/>
    <w:rsid w:val="00AA2FDC"/>
    <w:rsid w:val="00AA5ECC"/>
    <w:rsid w:val="00AC2C41"/>
    <w:rsid w:val="00AC7275"/>
    <w:rsid w:val="00AC7A0C"/>
    <w:rsid w:val="00AD0A2A"/>
    <w:rsid w:val="00AD69D0"/>
    <w:rsid w:val="00AE05C0"/>
    <w:rsid w:val="00AE199F"/>
    <w:rsid w:val="00AE530B"/>
    <w:rsid w:val="00AF0D68"/>
    <w:rsid w:val="00AF7545"/>
    <w:rsid w:val="00B01608"/>
    <w:rsid w:val="00B05A2C"/>
    <w:rsid w:val="00B10F5D"/>
    <w:rsid w:val="00B122DD"/>
    <w:rsid w:val="00B172D6"/>
    <w:rsid w:val="00B21703"/>
    <w:rsid w:val="00B233D6"/>
    <w:rsid w:val="00B24C89"/>
    <w:rsid w:val="00B32895"/>
    <w:rsid w:val="00B335DB"/>
    <w:rsid w:val="00B40FE6"/>
    <w:rsid w:val="00B44290"/>
    <w:rsid w:val="00B45248"/>
    <w:rsid w:val="00B54202"/>
    <w:rsid w:val="00B6791F"/>
    <w:rsid w:val="00B7175A"/>
    <w:rsid w:val="00B72576"/>
    <w:rsid w:val="00B74370"/>
    <w:rsid w:val="00B760CE"/>
    <w:rsid w:val="00B95A63"/>
    <w:rsid w:val="00B95CD5"/>
    <w:rsid w:val="00BA003A"/>
    <w:rsid w:val="00BA2A0F"/>
    <w:rsid w:val="00BB4135"/>
    <w:rsid w:val="00BB7D85"/>
    <w:rsid w:val="00BC6745"/>
    <w:rsid w:val="00BC6772"/>
    <w:rsid w:val="00BD0C7A"/>
    <w:rsid w:val="00BD223B"/>
    <w:rsid w:val="00BD4C53"/>
    <w:rsid w:val="00BD6D61"/>
    <w:rsid w:val="00BD6E6E"/>
    <w:rsid w:val="00BE2BB0"/>
    <w:rsid w:val="00BE3416"/>
    <w:rsid w:val="00BF2071"/>
    <w:rsid w:val="00BF66B3"/>
    <w:rsid w:val="00C0295F"/>
    <w:rsid w:val="00C0297E"/>
    <w:rsid w:val="00C10A37"/>
    <w:rsid w:val="00C1781C"/>
    <w:rsid w:val="00C20B20"/>
    <w:rsid w:val="00C23A69"/>
    <w:rsid w:val="00C25FD5"/>
    <w:rsid w:val="00C35360"/>
    <w:rsid w:val="00C36443"/>
    <w:rsid w:val="00C460A9"/>
    <w:rsid w:val="00C56300"/>
    <w:rsid w:val="00C6035D"/>
    <w:rsid w:val="00C60574"/>
    <w:rsid w:val="00C65BDA"/>
    <w:rsid w:val="00C73831"/>
    <w:rsid w:val="00C87E79"/>
    <w:rsid w:val="00C90236"/>
    <w:rsid w:val="00C97D50"/>
    <w:rsid w:val="00CA2093"/>
    <w:rsid w:val="00CA6954"/>
    <w:rsid w:val="00CA6DD8"/>
    <w:rsid w:val="00CB0807"/>
    <w:rsid w:val="00CB5484"/>
    <w:rsid w:val="00CB5CC2"/>
    <w:rsid w:val="00CB5E1B"/>
    <w:rsid w:val="00CC2B06"/>
    <w:rsid w:val="00CC4FE7"/>
    <w:rsid w:val="00CD285E"/>
    <w:rsid w:val="00CD4385"/>
    <w:rsid w:val="00CD7F4B"/>
    <w:rsid w:val="00D16644"/>
    <w:rsid w:val="00D2008F"/>
    <w:rsid w:val="00D3111F"/>
    <w:rsid w:val="00D33258"/>
    <w:rsid w:val="00D352DF"/>
    <w:rsid w:val="00D37C5D"/>
    <w:rsid w:val="00D5105E"/>
    <w:rsid w:val="00D518C2"/>
    <w:rsid w:val="00D635D4"/>
    <w:rsid w:val="00D651B3"/>
    <w:rsid w:val="00D66751"/>
    <w:rsid w:val="00D71B61"/>
    <w:rsid w:val="00D80BE6"/>
    <w:rsid w:val="00D82612"/>
    <w:rsid w:val="00D87F97"/>
    <w:rsid w:val="00D91F50"/>
    <w:rsid w:val="00DA1D13"/>
    <w:rsid w:val="00DB35DB"/>
    <w:rsid w:val="00DB6BE5"/>
    <w:rsid w:val="00DD4E04"/>
    <w:rsid w:val="00DD6DB5"/>
    <w:rsid w:val="00DE37CF"/>
    <w:rsid w:val="00DF053E"/>
    <w:rsid w:val="00DF1FE9"/>
    <w:rsid w:val="00DF231C"/>
    <w:rsid w:val="00DF301C"/>
    <w:rsid w:val="00E03CB2"/>
    <w:rsid w:val="00E121EA"/>
    <w:rsid w:val="00E14EE5"/>
    <w:rsid w:val="00E17360"/>
    <w:rsid w:val="00E20C87"/>
    <w:rsid w:val="00E23BDB"/>
    <w:rsid w:val="00E45272"/>
    <w:rsid w:val="00E52954"/>
    <w:rsid w:val="00E67EA6"/>
    <w:rsid w:val="00E74431"/>
    <w:rsid w:val="00E74ACD"/>
    <w:rsid w:val="00E75DB6"/>
    <w:rsid w:val="00E823C3"/>
    <w:rsid w:val="00E965A4"/>
    <w:rsid w:val="00E97F3C"/>
    <w:rsid w:val="00EA30FD"/>
    <w:rsid w:val="00EC1D1E"/>
    <w:rsid w:val="00ED7070"/>
    <w:rsid w:val="00EE0F44"/>
    <w:rsid w:val="00EE346B"/>
    <w:rsid w:val="00EF20EA"/>
    <w:rsid w:val="00EF65F6"/>
    <w:rsid w:val="00EF6C0D"/>
    <w:rsid w:val="00EF701B"/>
    <w:rsid w:val="00F003BF"/>
    <w:rsid w:val="00F012D4"/>
    <w:rsid w:val="00F0623D"/>
    <w:rsid w:val="00F24945"/>
    <w:rsid w:val="00F32A90"/>
    <w:rsid w:val="00F3426C"/>
    <w:rsid w:val="00F50985"/>
    <w:rsid w:val="00F510B3"/>
    <w:rsid w:val="00F53281"/>
    <w:rsid w:val="00F723DD"/>
    <w:rsid w:val="00F74BBF"/>
    <w:rsid w:val="00F82493"/>
    <w:rsid w:val="00F95FB8"/>
    <w:rsid w:val="00F96256"/>
    <w:rsid w:val="00FA0642"/>
    <w:rsid w:val="00FA68B7"/>
    <w:rsid w:val="00FB3AD6"/>
    <w:rsid w:val="00FB4ED1"/>
    <w:rsid w:val="00FB52F8"/>
    <w:rsid w:val="00FC2C9C"/>
    <w:rsid w:val="00FC3B25"/>
    <w:rsid w:val="00FC74FD"/>
    <w:rsid w:val="00FC7E4F"/>
    <w:rsid w:val="00FD1152"/>
    <w:rsid w:val="00FD3F03"/>
    <w:rsid w:val="00FD750B"/>
    <w:rsid w:val="00FE220D"/>
    <w:rsid w:val="00FF09D2"/>
    <w:rsid w:val="00FF3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uiPriority w:val="99"/>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uiPriority w:val="99"/>
    <w:semiHidden/>
    <w:rsid w:val="00604852"/>
    <w:rPr>
      <w:rFonts w:ascii="Tahoma" w:hAnsi="Tahoma" w:cs="Tahoma"/>
      <w:sz w:val="16"/>
      <w:szCs w:val="16"/>
    </w:rPr>
  </w:style>
  <w:style w:type="paragraph" w:styleId="DocumentMap">
    <w:name w:val="Document Map"/>
    <w:basedOn w:val="Normal"/>
    <w:link w:val="DocumentMapChar"/>
    <w:uiPriority w:val="99"/>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iPriority w:val="35"/>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citation">
    <w:name w:val="citation"/>
    <w:basedOn w:val="DefaultParagraphFont"/>
    <w:rsid w:val="00AC7A0C"/>
  </w:style>
  <w:style w:type="character" w:customStyle="1" w:styleId="st1">
    <w:name w:val="st1"/>
    <w:basedOn w:val="DefaultParagraphFont"/>
    <w:rsid w:val="00AC7A0C"/>
  </w:style>
  <w:style w:type="paragraph" w:styleId="EndnoteText">
    <w:name w:val="endnote text"/>
    <w:basedOn w:val="Normal"/>
    <w:link w:val="EndnoteTextChar"/>
    <w:uiPriority w:val="99"/>
    <w:unhideWhenUsed/>
    <w:rsid w:val="00AC7A0C"/>
    <w:rPr>
      <w:sz w:val="20"/>
      <w:lang w:eastAsia="zh-CN"/>
    </w:rPr>
  </w:style>
  <w:style w:type="character" w:customStyle="1" w:styleId="EndnoteTextChar">
    <w:name w:val="Endnote Text Char"/>
    <w:basedOn w:val="DefaultParagraphFont"/>
    <w:link w:val="EndnoteText"/>
    <w:uiPriority w:val="99"/>
    <w:rsid w:val="00AC7A0C"/>
    <w:rPr>
      <w:rFonts w:ascii="Times" w:hAnsi="Times"/>
      <w:lang w:eastAsia="zh-CN"/>
    </w:rPr>
  </w:style>
  <w:style w:type="paragraph" w:customStyle="1" w:styleId="MainText">
    <w:name w:val="Main Text"/>
    <w:basedOn w:val="Normal"/>
    <w:rsid w:val="00AC7A0C"/>
    <w:pPr>
      <w:ind w:firstLine="284"/>
      <w:jc w:val="both"/>
    </w:pPr>
    <w:rPr>
      <w:rFonts w:ascii="Times New Roman" w:hAnsi="Times New Roman"/>
      <w:sz w:val="20"/>
      <w:szCs w:val="24"/>
    </w:rPr>
  </w:style>
  <w:style w:type="paragraph" w:customStyle="1" w:styleId="RecipientAddress">
    <w:name w:val="Recipient Address"/>
    <w:basedOn w:val="Normal"/>
    <w:rsid w:val="00AC7A0C"/>
    <w:rPr>
      <w:rFonts w:ascii="Times New Roman" w:hAnsi="Times New Roman"/>
      <w:sz w:val="24"/>
      <w:szCs w:val="24"/>
    </w:rPr>
  </w:style>
  <w:style w:type="paragraph" w:customStyle="1" w:styleId="SenderAddress">
    <w:name w:val="Sender Address"/>
    <w:basedOn w:val="Normal"/>
    <w:rsid w:val="00AC7A0C"/>
    <w:rPr>
      <w:rFonts w:ascii="Times New Roman" w:hAnsi="Times New Roman"/>
      <w:sz w:val="24"/>
      <w:szCs w:val="24"/>
    </w:rPr>
  </w:style>
  <w:style w:type="character" w:customStyle="1" w:styleId="style10">
    <w:name w:val="style10"/>
    <w:basedOn w:val="DefaultParagraphFont"/>
    <w:rsid w:val="008415A2"/>
  </w:style>
  <w:style w:type="character" w:customStyle="1" w:styleId="publication-date">
    <w:name w:val="publication-date"/>
    <w:basedOn w:val="DefaultParagraphFont"/>
    <w:rsid w:val="008415A2"/>
  </w:style>
  <w:style w:type="character" w:customStyle="1" w:styleId="apple-converted-space">
    <w:name w:val="apple-converted-space"/>
    <w:basedOn w:val="DefaultParagraphFont"/>
    <w:rsid w:val="008415A2"/>
  </w:style>
  <w:style w:type="character" w:customStyle="1" w:styleId="Date1">
    <w:name w:val="Date1"/>
    <w:basedOn w:val="DefaultParagraphFont"/>
    <w:rsid w:val="008415A2"/>
  </w:style>
  <w:style w:type="character" w:styleId="FollowedHyperlink">
    <w:name w:val="FollowedHyperlink"/>
    <w:basedOn w:val="DefaultParagraphFont"/>
    <w:uiPriority w:val="99"/>
    <w:semiHidden/>
    <w:unhideWhenUsed/>
    <w:rsid w:val="000E7F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uiPriority w:val="99"/>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uiPriority w:val="99"/>
    <w:semiHidden/>
    <w:rsid w:val="00604852"/>
    <w:rPr>
      <w:rFonts w:ascii="Tahoma" w:hAnsi="Tahoma" w:cs="Tahoma"/>
      <w:sz w:val="16"/>
      <w:szCs w:val="16"/>
    </w:rPr>
  </w:style>
  <w:style w:type="paragraph" w:styleId="DocumentMap">
    <w:name w:val="Document Map"/>
    <w:basedOn w:val="Normal"/>
    <w:link w:val="DocumentMapChar"/>
    <w:uiPriority w:val="99"/>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iPriority w:val="35"/>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citation">
    <w:name w:val="citation"/>
    <w:basedOn w:val="DefaultParagraphFont"/>
    <w:rsid w:val="00AC7A0C"/>
  </w:style>
  <w:style w:type="character" w:customStyle="1" w:styleId="st1">
    <w:name w:val="st1"/>
    <w:basedOn w:val="DefaultParagraphFont"/>
    <w:rsid w:val="00AC7A0C"/>
  </w:style>
  <w:style w:type="paragraph" w:styleId="EndnoteText">
    <w:name w:val="endnote text"/>
    <w:basedOn w:val="Normal"/>
    <w:link w:val="EndnoteTextChar"/>
    <w:uiPriority w:val="99"/>
    <w:unhideWhenUsed/>
    <w:rsid w:val="00AC7A0C"/>
    <w:rPr>
      <w:sz w:val="20"/>
      <w:lang w:eastAsia="zh-CN"/>
    </w:rPr>
  </w:style>
  <w:style w:type="character" w:customStyle="1" w:styleId="EndnoteTextChar">
    <w:name w:val="Endnote Text Char"/>
    <w:basedOn w:val="DefaultParagraphFont"/>
    <w:link w:val="EndnoteText"/>
    <w:uiPriority w:val="99"/>
    <w:rsid w:val="00AC7A0C"/>
    <w:rPr>
      <w:rFonts w:ascii="Times" w:hAnsi="Times"/>
      <w:lang w:eastAsia="zh-CN"/>
    </w:rPr>
  </w:style>
  <w:style w:type="paragraph" w:customStyle="1" w:styleId="MainText">
    <w:name w:val="Main Text"/>
    <w:basedOn w:val="Normal"/>
    <w:rsid w:val="00AC7A0C"/>
    <w:pPr>
      <w:ind w:firstLine="284"/>
      <w:jc w:val="both"/>
    </w:pPr>
    <w:rPr>
      <w:rFonts w:ascii="Times New Roman" w:hAnsi="Times New Roman"/>
      <w:sz w:val="20"/>
      <w:szCs w:val="24"/>
    </w:rPr>
  </w:style>
  <w:style w:type="paragraph" w:customStyle="1" w:styleId="RecipientAddress">
    <w:name w:val="Recipient Address"/>
    <w:basedOn w:val="Normal"/>
    <w:rsid w:val="00AC7A0C"/>
    <w:rPr>
      <w:rFonts w:ascii="Times New Roman" w:hAnsi="Times New Roman"/>
      <w:sz w:val="24"/>
      <w:szCs w:val="24"/>
    </w:rPr>
  </w:style>
  <w:style w:type="paragraph" w:customStyle="1" w:styleId="SenderAddress">
    <w:name w:val="Sender Address"/>
    <w:basedOn w:val="Normal"/>
    <w:rsid w:val="00AC7A0C"/>
    <w:rPr>
      <w:rFonts w:ascii="Times New Roman" w:hAnsi="Times New Roman"/>
      <w:sz w:val="24"/>
      <w:szCs w:val="24"/>
    </w:rPr>
  </w:style>
  <w:style w:type="character" w:customStyle="1" w:styleId="style10">
    <w:name w:val="style10"/>
    <w:basedOn w:val="DefaultParagraphFont"/>
    <w:rsid w:val="008415A2"/>
  </w:style>
  <w:style w:type="character" w:customStyle="1" w:styleId="publication-date">
    <w:name w:val="publication-date"/>
    <w:basedOn w:val="DefaultParagraphFont"/>
    <w:rsid w:val="008415A2"/>
  </w:style>
  <w:style w:type="character" w:customStyle="1" w:styleId="apple-converted-space">
    <w:name w:val="apple-converted-space"/>
    <w:basedOn w:val="DefaultParagraphFont"/>
    <w:rsid w:val="008415A2"/>
  </w:style>
  <w:style w:type="character" w:customStyle="1" w:styleId="Date1">
    <w:name w:val="Date1"/>
    <w:basedOn w:val="DefaultParagraphFont"/>
    <w:rsid w:val="008415A2"/>
  </w:style>
  <w:style w:type="character" w:styleId="FollowedHyperlink">
    <w:name w:val="FollowedHyperlink"/>
    <w:basedOn w:val="DefaultParagraphFont"/>
    <w:uiPriority w:val="99"/>
    <w:semiHidden/>
    <w:unhideWhenUsed/>
    <w:rsid w:val="000E7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s://ehis.ebscohost.com/eds/detail?vid=8&amp;hid=109&amp;sid=852bc5cb-47d5-41fe-b732-f7bbccc7dd62%40sessionmgr114&amp;bdata=JnNpdGU9ZWRzLWxpdmU%3d" TargetMode="External"/><Relationship Id="rId39" Type="http://schemas.openxmlformats.org/officeDocument/2006/relationships/hyperlink" Target="mailto:eric.dahlin@byu.edu" TargetMode="External"/><Relationship Id="rId3" Type="http://schemas.openxmlformats.org/officeDocument/2006/relationships/styles" Target="styles.xml"/><Relationship Id="rId21" Type="http://schemas.openxmlformats.org/officeDocument/2006/relationships/hyperlink" Target="http://ehis.ebscohost.com/eds/detail?vid=24&amp;hid=102&amp;sid=8e61a759-5c18-480f-afcf-2380c2e7e420%40sessionmgr104&amp;bdata=JnNpdGU9ZWRzLWxpdmU%3d" TargetMode="External"/><Relationship Id="rId34" Type="http://schemas.openxmlformats.org/officeDocument/2006/relationships/hyperlink" Target="mailto:denigris@email.phoenix.edu" TargetMode="External"/><Relationship Id="rId42" Type="http://schemas.openxmlformats.org/officeDocument/2006/relationships/image" Target="media/image7.jpeg"/><Relationship Id="rId47"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lhahn@niagra.edu" TargetMode="External"/><Relationship Id="rId25" Type="http://schemas.openxmlformats.org/officeDocument/2006/relationships/hyperlink" Target="http://www.virtualsalt.com/crebook1.htm" TargetMode="External"/><Relationship Id="rId33" Type="http://schemas.openxmlformats.org/officeDocument/2006/relationships/image" Target="media/image5.png"/><Relationship Id="rId38" Type="http://schemas.openxmlformats.org/officeDocument/2006/relationships/hyperlink" Target="http://www.whitehouse.gov/issues/education/educate-innovate"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newsonfeeds.com/" TargetMode="External"/><Relationship Id="rId29" Type="http://schemas.openxmlformats.org/officeDocument/2006/relationships/hyperlink" Target="http://www.sciencedirect.com.ezproxy.apollolibrary.com/science?_ob=ArticleListURL&amp;_method=list&amp;_ArticleListID=2109597272&amp;_sort=r&amp;_st=13&amp;view=c&amp;_acct=C000070620&amp;_version=1&amp;_urlVersion=0&amp;_userid=6814941&amp;md5=dc9dd20e004098a9d670bc3adfad2cbd&amp;searchtype=a" TargetMode="External"/><Relationship Id="rId41" Type="http://schemas.openxmlformats.org/officeDocument/2006/relationships/hyperlink" Target="mailto:grimshaw%40by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ehis.ebscohost.com/eds/detail?vid=4&amp;hid=121&amp;sid=3e62b98c-2149-41f6-95b7-2e2c44a8680d%40sessionmgr110&amp;bdata=JnNpdGU9ZWRzLWxpdmU%3d" TargetMode="External"/><Relationship Id="rId32" Type="http://schemas.openxmlformats.org/officeDocument/2006/relationships/hyperlink" Target="mailto:brent.muirhead1@gmail.com" TargetMode="External"/><Relationship Id="rId37" Type="http://schemas.openxmlformats.org/officeDocument/2006/relationships/hyperlink" Target="http://www.whitehouse.gov/issues/education/k-12/educate-innovate" TargetMode="External"/><Relationship Id="rId40" Type="http://schemas.openxmlformats.org/officeDocument/2006/relationships/hyperlink" Target="mailto:strong@byu.edu" TargetMode="External"/><Relationship Id="rId45" Type="http://schemas.openxmlformats.org/officeDocument/2006/relationships/hyperlink" Target="mailto:keast_d@utpb.edu" TargetMode="External"/><Relationship Id="rId5" Type="http://schemas.openxmlformats.org/officeDocument/2006/relationships/settings" Target="settings.xml"/><Relationship Id="rId15" Type="http://schemas.openxmlformats.org/officeDocument/2006/relationships/hyperlink" Target="http://www.ifets.info/journals/3_3/b01.pdf" TargetMode="External"/><Relationship Id="rId23" Type="http://schemas.openxmlformats.org/officeDocument/2006/relationships/hyperlink" Target="https://ehis.ebscohost.com/eds/detail?vid=2&amp;hid=103&amp;sid=15ec666d-9529-46b7-9b0c-ca2f59415c7d%40sessionmgr111&amp;bdata=JnNpdGU9ZWRzLWxpdmU%3d" TargetMode="External"/><Relationship Id="rId28" Type="http://schemas.openxmlformats.org/officeDocument/2006/relationships/hyperlink" Target="http://jolt.merlot.org/vol7no4/rodriguez_1211.htm" TargetMode="External"/><Relationship Id="rId36" Type="http://schemas.openxmlformats.org/officeDocument/2006/relationships/hyperlink" Target="mailto:jrperlman@bizdirections.com"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popurls.com/" TargetMode="External"/><Relationship Id="rId31" Type="http://schemas.openxmlformats.org/officeDocument/2006/relationships/image" Target="media/image4.jpeg"/><Relationship Id="rId44"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http://creativecommons.org/licenses/by-nc-sa/2.5/" TargetMode="External"/><Relationship Id="rId14" Type="http://schemas.openxmlformats.org/officeDocument/2006/relationships/footer" Target="footer2.xml"/><Relationship Id="rId22" Type="http://schemas.openxmlformats.org/officeDocument/2006/relationships/hyperlink" Target="http://ehis.ebscohost.com/eds/detail?vid=16&amp;hid=116&amp;sid=dfd09771-339d-48ef-a914-9cb536f4daac%40sessionmgr112&amp;bdata=JnNpdGU9ZWRzLWxpdmU%3d" TargetMode="External"/><Relationship Id="rId27" Type="http://schemas.openxmlformats.org/officeDocument/2006/relationships/hyperlink" Target="https://ehis.ebscohost.com/eds/detail?vid=9&amp;hid=103&amp;sid=15ec666d-9529-46b7-9b0c-ca2f59415c7d%40sessionmgr111&amp;bdata=JnNpdGU9ZWRzLWxpdmU%3d" TargetMode="External"/><Relationship Id="rId30" Type="http://schemas.openxmlformats.org/officeDocument/2006/relationships/hyperlink" Target="http://jolt.merlot.org/vol7no2/goel_0611.htm" TargetMode="External"/><Relationship Id="rId35" Type="http://schemas.openxmlformats.org/officeDocument/2006/relationships/image" Target="media/image6.png"/><Relationship Id="rId43" Type="http://schemas.openxmlformats.org/officeDocument/2006/relationships/image" Target="media/image8.jpeg"/><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B72F9-FE17-4FE4-B880-02DDCFCB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58</Pages>
  <Words>26475</Words>
  <Characters>150911</Characters>
  <Application>Microsoft Office Word</Application>
  <DocSecurity>0</DocSecurity>
  <Lines>1257</Lines>
  <Paragraphs>354</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/InternAtional Journal</vt:lpstr>
      <vt:lpstr>    of</vt:lpstr>
      <vt:lpstr>    Instructional Technology and Distance Learning</vt:lpstr>
      <vt:lpstr>Table of Contents – March 2012</vt:lpstr>
      <vt:lpstr>Creativity</vt:lpstr>
      <vt:lpstr>The Effects of Hypermedia-Supported Knowledge Organizers on the Construction of </vt:lpstr>
      <vt:lpstr>        Abstract</vt:lpstr>
      <vt:lpstr>        Introduction</vt:lpstr>
      <vt:lpstr>        Schema Theory and the External Representations of Cognitive Structures</vt:lpstr>
      <vt:lpstr>        N-Dimensional Knowledge Organizers and Learning Styles</vt:lpstr>
      <vt:lpstr>        Research Questions</vt:lpstr>
      <vt:lpstr>        Methodology</vt:lpstr>
      <vt:lpstr>        Procedure.</vt:lpstr>
      <vt:lpstr>        Data Analysis and Results</vt:lpstr>
      <vt:lpstr>        Discussion</vt:lpstr>
      <vt:lpstr>        Conclusion</vt:lpstr>
      <vt:lpstr>        References</vt:lpstr>
      <vt:lpstr>        About the Author</vt:lpstr>
      <vt:lpstr>The Web-Based Creativity Model©:  A New Approach for Creativity Integration to A</vt:lpstr>
      <vt:lpstr>        Abstract</vt:lpstr>
      <vt:lpstr>        Introduction</vt:lpstr>
      <vt:lpstr>        Defining Creativity</vt:lpstr>
      <vt:lpstr>        Creative Individuals</vt:lpstr>
      <vt:lpstr>        Research Trends and Educational Implications</vt:lpstr>
      <vt:lpstr>        Creativity, Resistance, and Online Learning Competencies:  Industry vs. Learning</vt:lpstr>
      <vt:lpstr>        Four W-B Creativity Model© strategy steps</vt:lpstr>
      <vt:lpstr>        Conclusions and Recommendations</vt:lpstr>
    </vt:vector>
  </TitlesOfParts>
  <Company/>
  <LinksUpToDate>false</LinksUpToDate>
  <CharactersWithSpaces>177032</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cp:lastModifiedBy>
  <cp:revision>13</cp:revision>
  <cp:lastPrinted>2012-07-29T19:29:00Z</cp:lastPrinted>
  <dcterms:created xsi:type="dcterms:W3CDTF">2012-06-02T19:08:00Z</dcterms:created>
  <dcterms:modified xsi:type="dcterms:W3CDTF">2012-10-09T14:43:00Z</dcterms:modified>
</cp:coreProperties>
</file>